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1992-12-10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take much pleasure in announcing the decision to establish an office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Advancement of women, which, as an agency of the bahá’í inter-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community, will promote the principles of the faith through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interaction with international entities concerned with matters affecting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rights, status and well-being of women. it will also advise National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regarding programs and projects in which the involvement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 can encourage efforts towards the realization of the equality of men and women.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establishment of this office now is largely a consequence of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gratifying developments, namely: the great extent to which the work of our united Nations office concerning women’s issues has expanded in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 years; and the rising stature for the bahá’í community which this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achieved in international circles. we are delighted that, for instance,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international community has been serving since 1988 as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convener of Advocates for African food Security, a coalition of nongov-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ernmental organizations, united Nations agencies and intergovernmental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bodies formed in 1986 to raise awareness of women as producers of most of the domestic food in Africa; that our united Nations representative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specializes in women’s issues is a member of the Steering committee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planning the Non-g overnmental organizations’ forum to be held in bei-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jing in 1995 at the time of the fourth world conference on women;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she chairs the Ngo committee on the Status of women, New york,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position of great prestige in the uN/Ngo community. furthermore,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relations of the bahá’í international community with the united Nations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 fund for women ( uNifem) have fostered a mutual confi-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dence that has encouraged uNifem to collaborate with the bahá’í interna-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community in the launching in three countries of projects aimed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promoting change in attitudes between men and women. All three projects involve the b ahá’í community at international, national and local levels.147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16The inauguration of the office for the Advancement of women, 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companion of the other offices of the bahá’í international community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 york, is a further significant step in the administration of the external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affairs of the faith and, of course, provides our community with a visible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instrument for the practical application of one of the cardinal principles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cause of b 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Initiation of Third Phase of Mount Carmel Projects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(1992-12-10)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