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1993-05-20</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This is in reference to our circular letter dated 30 September 1992 con-</w:t>
      </w:r>
    </w:p>
    <w:p>
      <w:pPr>
        <w:spacing w:before="0" w:after="160" w:line="276" w:lineRule="auto"/>
        <w:jc w:val="both"/>
      </w:pPr>
      <w:r>
        <w:rPr>
          <w:rFonts w:ascii="Times New Roman" w:hAnsi="Times New Roman"/>
          <w:color w:val="000000"/>
          <w:sz w:val="22"/>
        </w:rPr>
        <w:t>cerning the confiscation of bahá’í properties in various cities of iran. A</w:t>
      </w:r>
    </w:p>
    <w:p>
      <w:pPr>
        <w:spacing w:before="0" w:after="160" w:line="276" w:lineRule="auto"/>
        <w:jc w:val="both"/>
      </w:pPr>
      <w:r>
        <w:rPr>
          <w:rFonts w:ascii="Times New Roman" w:hAnsi="Times New Roman"/>
          <w:color w:val="000000"/>
          <w:sz w:val="22"/>
        </w:rPr>
        <w:t>copy of that letter is being forwarded herewith to all National Spiritual Assemblies marked with an asterisk, as they have not previously received it.</w:t>
      </w:r>
    </w:p>
    <w:p>
      <w:pPr>
        <w:spacing w:before="0" w:after="160" w:line="276" w:lineRule="auto"/>
        <w:jc w:val="both"/>
      </w:pPr>
      <w:r>
        <w:rPr>
          <w:rFonts w:ascii="Times New Roman" w:hAnsi="Times New Roman"/>
          <w:color w:val="000000"/>
          <w:sz w:val="22"/>
        </w:rPr>
        <w:t>we are instructed to draw your attention to the fact that the confiscations</w:t>
      </w:r>
    </w:p>
    <w:p>
      <w:pPr>
        <w:spacing w:before="0" w:after="160" w:line="276" w:lineRule="auto"/>
        <w:jc w:val="both"/>
      </w:pPr>
      <w:r>
        <w:rPr>
          <w:rFonts w:ascii="Times New Roman" w:hAnsi="Times New Roman"/>
          <w:color w:val="000000"/>
          <w:sz w:val="22"/>
        </w:rPr>
        <w:t>of the properties of the bahá’ís in yazd are of a different nature than those</w:t>
      </w:r>
    </w:p>
    <w:p>
      <w:pPr>
        <w:spacing w:before="0" w:after="160" w:line="276" w:lineRule="auto"/>
        <w:jc w:val="both"/>
      </w:pPr>
      <w:r>
        <w:rPr>
          <w:rFonts w:ascii="Times New Roman" w:hAnsi="Times New Roman"/>
          <w:color w:val="000000"/>
          <w:sz w:val="22"/>
        </w:rPr>
        <w:t>taking place elsewhere in the country. in yazd, they are based on a religious</w:t>
      </w:r>
    </w:p>
    <w:p>
      <w:pPr>
        <w:spacing w:before="0" w:after="160" w:line="276" w:lineRule="auto"/>
        <w:jc w:val="both"/>
      </w:pPr>
      <w:r>
        <w:rPr>
          <w:rFonts w:ascii="Times New Roman" w:hAnsi="Times New Roman"/>
          <w:color w:val="000000"/>
          <w:sz w:val="22"/>
        </w:rPr>
        <w:t>edict issued by the late áyatu’lláh ßadúqí, former imam of yazd. This edict</w:t>
      </w:r>
    </w:p>
    <w:p>
      <w:pPr>
        <w:spacing w:before="0" w:after="160" w:line="276" w:lineRule="auto"/>
        <w:jc w:val="both"/>
      </w:pPr>
      <w:r>
        <w:rPr>
          <w:rFonts w:ascii="Times New Roman" w:hAnsi="Times New Roman"/>
          <w:color w:val="000000"/>
          <w:sz w:val="22"/>
        </w:rPr>
        <w:t>is now being invoked by the authorities in yazd to justify their decision that</w:t>
      </w:r>
    </w:p>
    <w:p>
      <w:pPr>
        <w:spacing w:before="0" w:after="160" w:line="276" w:lineRule="auto"/>
        <w:jc w:val="both"/>
      </w:pPr>
      <w:r>
        <w:rPr>
          <w:rFonts w:ascii="Times New Roman" w:hAnsi="Times New Roman"/>
          <w:color w:val="000000"/>
          <w:sz w:val="22"/>
        </w:rPr>
        <w:t>no bahá’í in that city may possess any property or engage in any transac-</w:t>
      </w:r>
    </w:p>
    <w:p>
      <w:pPr>
        <w:spacing w:before="0" w:after="160" w:line="276" w:lineRule="auto"/>
        <w:jc w:val="both"/>
      </w:pPr>
      <w:r>
        <w:rPr>
          <w:rFonts w:ascii="Times New Roman" w:hAnsi="Times New Roman"/>
          <w:color w:val="000000"/>
          <w:sz w:val="22"/>
        </w:rPr>
        <w:t>tions involving properties.</w:t>
      </w:r>
    </w:p>
    <w:p>
      <w:pPr>
        <w:spacing w:before="0" w:after="160" w:line="276" w:lineRule="auto"/>
        <w:jc w:val="both"/>
      </w:pPr>
      <w:r>
        <w:rPr>
          <w:rFonts w:ascii="Times New Roman" w:hAnsi="Times New Roman"/>
          <w:color w:val="000000"/>
          <w:sz w:val="22"/>
        </w:rPr>
        <w:t>The confiscation of properties and the prohibition of bahá’ís to be en-</w:t>
      </w:r>
    </w:p>
    <w:p>
      <w:pPr>
        <w:spacing w:before="0" w:after="160" w:line="276" w:lineRule="auto"/>
        <w:jc w:val="both"/>
      </w:pPr>
      <w:r>
        <w:rPr>
          <w:rFonts w:ascii="Times New Roman" w:hAnsi="Times New Roman"/>
          <w:color w:val="000000"/>
          <w:sz w:val="22"/>
        </w:rPr>
        <w:t>gaged in any property transactions clearly constitute religious persecution, as the individuals concerned are not being punished for any wrongdoing, but are deprived of their properties on the basis of belonging to a particular</w:t>
      </w:r>
    </w:p>
    <w:p>
      <w:pPr>
        <w:spacing w:before="0" w:after="160" w:line="276" w:lineRule="auto"/>
        <w:jc w:val="both"/>
      </w:pPr>
      <w:r>
        <w:rPr>
          <w:rFonts w:ascii="Times New Roman" w:hAnsi="Times New Roman"/>
          <w:color w:val="000000"/>
          <w:sz w:val="22"/>
        </w:rPr>
        <w:t>religious community.</w:t>
      </w:r>
    </w:p>
    <w:p>
      <w:pPr>
        <w:spacing w:before="0" w:after="160" w:line="276" w:lineRule="auto"/>
        <w:jc w:val="both"/>
      </w:pPr>
      <w:r>
        <w:rPr>
          <w:rFonts w:ascii="Times New Roman" w:hAnsi="Times New Roman"/>
          <w:color w:val="000000"/>
          <w:sz w:val="22"/>
        </w:rPr>
        <w:t>in the meantime, the bahá’ís of Saysán and ílkhchí have reported con-</w:t>
      </w:r>
    </w:p>
    <w:p>
      <w:pPr>
        <w:spacing w:before="0" w:after="160" w:line="276" w:lineRule="auto"/>
        <w:jc w:val="both"/>
      </w:pPr>
      <w:r>
        <w:rPr>
          <w:rFonts w:ascii="Times New Roman" w:hAnsi="Times New Roman"/>
          <w:color w:val="000000"/>
          <w:sz w:val="22"/>
        </w:rPr>
        <w:t>fiscations of their properties on the grounds that they are members of the</w:t>
      </w:r>
    </w:p>
    <w:p>
      <w:pPr>
        <w:spacing w:before="0" w:after="160" w:line="276" w:lineRule="auto"/>
        <w:jc w:val="both"/>
      </w:pPr>
      <w:r>
        <w:rPr>
          <w:rFonts w:ascii="Times New Roman" w:hAnsi="Times New Roman"/>
          <w:color w:val="000000"/>
          <w:sz w:val="22"/>
        </w:rPr>
        <w:t>bahá’í community. . . .</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156</w:t>
      </w:r>
    </w:p>
    <w:p>
      <w:pPr>
        <w:spacing w:before="0" w:after="160" w:line="276" w:lineRule="auto"/>
        <w:jc w:val="both"/>
      </w:pPr>
      <w:r>
        <w:rPr>
          <w:rFonts w:ascii="Times New Roman" w:hAnsi="Times New Roman"/>
          <w:color w:val="000000"/>
          <w:sz w:val="22"/>
        </w:rPr>
        <w:t>Appointment of Four New Continental Counselors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selected National Spiritual Assemblies</dc:title>
  <dc:subject>Bahá'í Guidance (1993-05-20)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