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1993-07-01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june 1993 which evinces such devotion to the cause of god. it has asked 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send you the following reply.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has never gone to the extreme of telling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now is the time to give their long-range savings to the fund. it sets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forth the needs of the cause, and calls upon the believers to sacrifice,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degree and manner of his sacrifice depends on each believer’s own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good judgment in light of his responsibilities. Again and again in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162-2. Adj, ¶78 (2006).162.9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51writings bahá’u’lláh emphasizes the need for moderation in all things,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upholds the importance of using wisdom in all we do and say.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devoted believers in every age have found it challenging to decide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much of their worldly wealth they should give to the cause of god,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much they should use to meet their many responsibilities of life,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educating their children, preparing for their old age so that they will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 burden on others, and so forth. you will recall the story of the muslim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asked mu¥ammad whether he should tie up his camel or trust in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it would not run away. mu¥ammad’s answer was that he should tie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 the camel and trust in god! in this dispensation, by the institution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þuqúqu’lláh, bahá’u’lláh has provided us with a measure. we are all obliged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pay that portion of our savings that is god’s right. what remains there-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is ours to use at our own discretion, for the promotion of the work of the cause and for helping others less fortunate than ourselves.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h idden w ords b ahá’u’lláh revealed: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 my Servant! The best of men are they that earn a livelihood by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calling and spend upon themselves and upon their kindred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love of g od, the lord of all worlds.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163-1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furthermore, in the twelfth g lad-Tidings h e stated: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most despised of men in the sight of god are those who sit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idly and beg. hold ye fast unto the cord of material means, placing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whole trust in god, the provider of all means. when anyone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occupieth himself in a craft or trade, such occupation itself is regarded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estimation of god as an act of worship; and this is naught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token of h is infinite and all-pervasive bounty.163-2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Thus to earn a livelihood is a spiritual obligation, and one should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consciously place oneself in a position where one would have to beg others for material support.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against this background of responsibility for oneself and one’s family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each person must estimate the degree to which he or she can sacrifice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163-1. hw , persian, no. 82.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163-2. Tb, p. 26.163.3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163.4a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163.4b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163.6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52for the funds of the faith. The range of options and decisions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can make regarding the management of their personal finances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without jeopardizing their future security are great, and can only be evalu-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ated by each individual.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asks us to assure you of its prayers at the Sacred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Threshold that you may be assisted with divine guidance and confirmations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all your devoted services on behalf of the f aith of b 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Applicability of Bahá’í Laws to Western Believers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(1993-07-01)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