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1993-09-13</w:t>
      </w:r>
    </w:p>
    <w:p>
      <w:pPr>
        <w:spacing w:before="0" w:after="160" w:line="276" w:lineRule="auto"/>
        <w:jc w:val="both"/>
      </w:pPr>
      <w:r>
        <w:rPr>
          <w:rFonts w:ascii="Times New Roman" w:hAnsi="Times New Roman"/>
          <w:color w:val="000000"/>
          <w:sz w:val="22"/>
        </w:rPr>
        <w:t>maison d’Éditions b ahá’íes dear b ahá’í f riends, we regret that we cannot answer your fax of 26 August 1993 in french, as requested, but we enclose a french translation of this letter in the hope that it will assist you.</w:t>
      </w:r>
    </w:p>
    <w:p>
      <w:pPr>
        <w:spacing w:before="0" w:after="160" w:line="276" w:lineRule="auto"/>
        <w:jc w:val="both"/>
      </w:pPr>
      <w:r>
        <w:rPr>
          <w:rFonts w:ascii="Times New Roman" w:hAnsi="Times New Roman"/>
          <w:color w:val="000000"/>
          <w:sz w:val="22"/>
        </w:rPr>
        <w:t>The correct way of reciting the p rayer for the d ead is as follows:</w:t>
      </w:r>
    </w:p>
    <w:p>
      <w:pPr>
        <w:spacing w:before="0" w:after="160" w:line="276" w:lineRule="auto"/>
        <w:jc w:val="both"/>
      </w:pPr>
      <w:r>
        <w:rPr>
          <w:rFonts w:ascii="Times New Roman" w:hAnsi="Times New Roman"/>
          <w:color w:val="000000"/>
          <w:sz w:val="22"/>
        </w:rPr>
        <w:t>Alláh-u-Abhá (once) we all, verily, worship g od (19 times) Alláh-u-Abhá (once) we all, verily, bow down before g od (19 times) Alláh-u-Abhá (once) we all, verily, are devoted unto g od (19 times) Alláh-u-Abhá (once)we all, verily, give praise unto g od (19 times) Alláh-u-Abhá (once)we all, verily, yield thanks unto g od (19 times) Alláh-u-Abhá (once)167 .3 168.1</w:t>
      </w:r>
    </w:p>
    <w:p>
      <w:pPr>
        <w:spacing w:before="280" w:after="120"/>
        <w:jc w:val="left"/>
      </w:pPr>
      <w:r>
        <w:rPr>
          <w:rFonts w:ascii="Times New Roman" w:hAnsi="Times New Roman"/>
          <w:b/>
          <w:color w:val="000000"/>
          <w:sz w:val="22"/>
        </w:rPr>
        <w:t>168.2</w:t>
      </w:r>
    </w:p>
    <w:p>
      <w:pPr>
        <w:spacing w:before="280" w:after="120"/>
        <w:jc w:val="left"/>
      </w:pPr>
      <w:r>
        <w:rPr>
          <w:rFonts w:ascii="Times New Roman" w:hAnsi="Times New Roman"/>
          <w:b/>
          <w:color w:val="000000"/>
          <w:sz w:val="22"/>
        </w:rPr>
        <w:t>168.2a</w:t>
      </w:r>
    </w:p>
    <w:p>
      <w:pPr>
        <w:spacing w:before="0" w:after="160" w:line="276" w:lineRule="auto"/>
        <w:jc w:val="both"/>
      </w:pPr>
      <w:r>
        <w:rPr>
          <w:rFonts w:ascii="Times New Roman" w:hAnsi="Times New Roman"/>
          <w:color w:val="000000"/>
          <w:sz w:val="22"/>
        </w:rPr>
        <w:t>m eS Sa g e S f ro m  Th e  u n i v e r Sa l  h o u Se  o f  j u S Ti c e 58we all, verily, are patient in g od (19 times) when the kitáb-i-Aqdas was being translated it was noted that the eng- lish translation of the instructions which form part of the prayer for the dead could be understood in more than one way. Therefore, when Note 11 was formulated it was expressed in a way that was intended to clarify the ambiguity, namely: “the repetition of the greeting ‘Alláh-u-Abhá’ ( god is the All glorious) six times, each followed by nineteen repetitions of one of the six specifically revealed verses.”</w:t>
      </w:r>
    </w:p>
    <w:p>
      <w:pPr>
        <w:spacing w:before="0" w:after="160" w:line="276" w:lineRule="auto"/>
        <w:jc w:val="both"/>
      </w:pPr>
      <w:r>
        <w:rPr>
          <w:rFonts w:ascii="Times New Roman" w:hAnsi="Times New Roman"/>
          <w:color w:val="000000"/>
          <w:sz w:val="22"/>
        </w:rPr>
        <w:t>with loving b ahá’í greetings, Department  of tHe secretariat 169 Use of the Term “Bahá’í Scholarship”</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dÉditions b aháíes dear b aháí f riends</dc:title>
  <dc:subject>Bahá'í Guidance (1993-09-13)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