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1993-11-26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gathering momentum now evident in the continual teaching suc-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cesses, notably in lands recently opened to the faith, impels us to announce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conditions make it ripe for the formation next ri¤ván of seven new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and r egional Spiritual Assemblies.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will be established in Asia: the National Spiritual Assemblies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cambodia, with its seat in phnom penh; kazakhstan, with its seat in Alma-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Ata; kyrgyzstan, with its seat in bishkek; mongolia, with its seat in ulaan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baatar; Tajikistan, with its seat in dushanbe; uzbekistan, with its seat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Tashkent; and in europe: the regional Spiritual Assembly of Slovenia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croatia, with its seat in ljubljana. The regional Spiritual Assembly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central Asia will become the National Spiritual Assembly of T urkmenistan, with its seat in ‘i shqábád.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these tidings, we express the urgent hope that the followers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 throughout the world, encouraged not only by the accretion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new victories but particularly by the opportunities for teaching which multi-ply daily as a consequence of rampant social disorder, will concentrate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energies on spreading the redemptive message of bahá’u’lláh with dispatch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resolve. may they ever draw courage and strength from the manifest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confirmations of the b lessed b eauty.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173.1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173.2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173.3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68174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Commencement of Construction of the Center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Study of the Texts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(1993-11-26)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