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1994-12-15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letter of 20 September 1994 to . . . , concerning the degrees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possessed by bahá’í historical sources, the process by which trans-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lations are authorized, the development of a “canon of bahá’í doctrine,”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status of documents prepared by the research department, and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request for various materials, was forwarded to the universal house of jus-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tice for its consideration. we are instructed to make the following reply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your questions numbered two, three and five. The remaining questions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referred to the research department for study. The enclosed memo-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randum and attachments represent the result of the deliberations of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department.191.2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192.1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1your questions concerning translation revolve around two major issues: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process by which new translations into the english language are autho-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rized and the authority of the translations of Shoghi effendi. we are asked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state that a translation is regarded as authorized when it is approved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or more translation committees appointed by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justice. while members of the research department may well, from time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time, be appointed to serve on such a translation committee, the authoriza-tion of new translations is currently not one of the responsibilities assigned to the research department by the house of justice. further, the approval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translation does not mean that improvements or amendments cannot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made to it in the future. As you, yourself, note, even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described his translation of the kitáb-i-íqán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one more attempt to introduce to the west, in a language however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inadequate, this book of unsurpassed pre-eminence among the writ-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 of the Author of the bahá’í revelation. The hope is that it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 others in their efforts to approach what must always be regarded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unattainable goal—a befitting rendering of bahá’u’lláh’s match-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less utterance.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to the policy concerning the publication of new translations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writings made by individual bahá’ís, we are instructed to convey the fact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translations into english and revisions of earlier translations in that lan-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guage must be checked by a translation committee at the bahá’í world cen-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 and officially approved for publication. while individuals are permitted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paraphrase or describe the contents of the passages they have translated and to include them in their manuscripts, without reference to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center, new translations need to be submitted to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for checking and approval prior to publication. The importance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policy lies in the fact that translations into most other languages are based on the approved english texts and are not made directly or solely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original texts. There have been, however, occasions when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has permitted the publication of provisional translations made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 whose work is known to it. in these cases the translations usually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192-1. kA, p. i.192.2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192.2a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192.3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15appear in scholarly or other publications of limited distribution and are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likely to be used as a basis for translations into other languages.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ask whether the translations of Shoghi effendi should be consid-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ered as the “standard” and whether, because of his function as infallible interpreter, the guardian’s translations provide “the true interpretation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writings.” we are asked to call attention to the introduction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qualities of the guardian’s translations and the fact that they “are illumined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his uniquely inspired understanding of the purport and implications of the originals.”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view of your observations that “the chain of interpretation is unbro-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ken, from the báb to bahá’u’lláh to ‘Abdu’l-b ahá to Shoghi effendi,”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“the ‘authorized’ interpretation of the writings ends with the guard-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ian,” you ask about the possibility of establishing a “canon of bahá’í doc-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trine which could then be regarded as ‘authorized’ and ‘official,’” and which would serve as a means by which “truth could be separated from falsehood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the divinely revealed and interpreted standard.” in this regard,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asks us to state that, while it would be possible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codify and cross-reference the bahá’í teachings, it would also be impor-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tant to take into account such functions assigned to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in the bahá’í writings as its role in elucidating all matters “which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not outwardly been revealed in the book” and in ensuring the essential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flexibility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 function, and as such differ from interpretation. The divinely inspired legislation of the house of justice does not attempt to say what the revealed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 means—it states what must be done in cases where the revealed Text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its authoritative interpretation is not explicit. it is, therefore, on quite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empowered to abrogate or amend its own legislation whenever it judges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conditions make this desirable.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to your question concerning whether the translations, compilations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other works prepared by the research department at the bahá’í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should be considered as partaking in the infallibility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192-2. kA, p. 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192-3. Tb, p. 68.192.4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192.5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192.6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192.7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16house of justice and, therefore, constituting the “final word,”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indicates that such materials, though prepared at its direction,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 the views of that department. while such views are very useful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an aid to resolving perplexities or gaining an enhanced understanding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teachings, they should never be taken to be in the same category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elucidations and clarifications provided by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in the exercise of its assigned functions. h owever, the h ouse of j 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tice chooses to convey the materials prepared by the research department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friends because it wishes them to be thoughtfully attended to and seriously considered.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asked to assure you of the prayers of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that your services to the cause will be confirmed.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of Mount Carmel Projects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(1994-12-15)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