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1995-05-05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judgment by the Supreme court of india on a religious dispute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tween the hindus and muslims in which the official decision of this highest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judicial authority in india cited the bahá’í faith as an example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of the faith as guidelines for solving such disputes. As you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recall, the babri mosque in the northern town of Ayodhya was razed by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 of hindus because the mosque, built in 1528, had been erected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spot where the hindu god rama is said to have been born thousands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years earlier. The destruction enraged muslims and ignited a grave crisis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india. muslim and hindu mobs attacked each other’s houses of worship,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homes and people in a number of cities, resulting in the death of hundreds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destruction of property not only in india but in pakistan, bangla-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desh, and even in b ritain.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relevant excerpt from the judgment of the Supreme court of india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dated 24 o ctober 1994 is enclosed for your information.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has emerged from obscurity, thanks to the sacrifices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in iran and the solidarity of the bahá’í world in rallying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institutions to support and protect the community of the greatest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 in the cradle of the faith. many doors have been opened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result of campaigns waged to reach government officials to familiarize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with the faith and the deplorable situation of the bahá’ís in iran,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well as through the interaction of the friends in worthy causes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benefit of their countrymen. reports have been received that receptive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governments are now using the life-giving Teachings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of the faith in directing the affairs of their countries. The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closed excerpt from the judgment is one such indication.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is gratified by these accomplishments, and is confident that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will be magnified in the future.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secretariat202.1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1The Supreme Court of India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Civil Original Jurisdiction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Transferred Case (C) Numbers 41, 43 And 45 Of 1993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 Petition (Civil) Number 20b Of 1993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Transferred Case (C) Number 42 Of 1993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 Petition (C) Number 186 Of 1994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Excerpt from pp. 91–93 of the Judgment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Supreme Court of India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“As 1993 began, communal violence returned to india, sparked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controversy over a 16th century mosque said to stand on the ruins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 ancient hindu temple honoring lord rama.” it may be said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‘fundamentalism and pluralism pose the two challenges that people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religious traditions face’; and “to the fundamentalists, the borders of religious certainty are tightly guarded; to the pluralist, the borders are good fences where one meets the neighbor. To many fundamentalists,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secularism, seen as the denial of religious claims, is the enemy; to plural-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ists, secularism, seen as the separation of government from the domina-tion of a single religion, is the essential concomitant of religious diversity and the protection of religious freedom.” The present state may be sum-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marized thus: “At present, the greatest religious tensions are not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any one religion and another; they are the tensions between the fundamentalist and the pluralist in each and every religious tradition.”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spirit of universalism popular in the late 19th century was depicted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max muller who said, “The living kernel of religion can be found,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 believe, in almost every creed, however much the husk may vary. And think what that means: it means that above and beneath and behind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religions there is one eternal, one universal religion.”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year 1993 has been described as the “ year of interreligious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derstanding and cooperation.” is that century old spirit of conciliation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cooperation reflected in reactions of the protagonists of different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religious faiths to justify 1993 being called the “ year of interreligious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 and cooperation?” (“r eflections on religious diversity”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diana l. [illegible] September 1994). it is this hope which has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realized in the future.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neutral perception of the requirement for communal harmony is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 in the bahá’í faith. in a booklet, Communal Harmony: India’s Greatest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Challenge, forming part of the b ahá’í literature, it is stated thus:202.4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2“. . . The spirit of tolerance and assimilation are the hall marks of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civilization. Never has the question of communal harmony and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integration raised such a wide range of emotions as today. . . 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“fear, suspicion and hatred are the fuel which feed the flame of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munal disharmony and conflict. Though the indian masses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prefer harmony between various communities, it cannot be estab-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lished through the accommodation ‘separate but equal,’ nor through the submergence of minority culture into majority culture—whatever that may be. . . 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“lasting harmony between heterogeneous communities can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through a recognition of the oneness of mankind, a realization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differences that divide us along ethnic and religious lines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foundation. just as there are no boundaries drawn on the earth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separate nations, distinctions of social, economic, ethnic and religious identity imposed by peoples are artificial; they have only benefited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with vested interests. on the other hand, naturally occurring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diverse regions of the planet, or the country, such as mountain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plains, each have unique benefits. The diversity created by god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infinite value, while distinctions imposed by man have no substance.”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conclude with the fervent hope that communal harmony, peace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tranquility would soon descend in the land of mahatma gandhi, father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Nation, whose favorite bhajan (hymn)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[two lines written in h indi]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“ishwar and Allah are both your names,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oh god! g rant this wisdom to all.”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do hope that the people of india would remember the gospel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preached and practiced, and live up to his ideals. “ better late than never.”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[justice] j.S. v erma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[justice] g.N. ray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d elhi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october 24, 1994202.6a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202.6b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202.6c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202.7a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202.8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203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Character of Internet Postings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(1995-05-05)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