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1995-05-19</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4 April 1995 concerning the character of some of the postings on bahá’í</w:t>
      </w:r>
    </w:p>
    <w:p>
      <w:pPr>
        <w:spacing w:before="0" w:after="160" w:line="276" w:lineRule="auto"/>
        <w:jc w:val="both"/>
      </w:pPr>
      <w:r>
        <w:rPr>
          <w:rFonts w:ascii="Times New Roman" w:hAnsi="Times New Roman"/>
          <w:color w:val="000000"/>
          <w:sz w:val="22"/>
        </w:rPr>
        <w:t>subjects in electronic discussion groups, and has asked us to convey to you</w:t>
      </w:r>
    </w:p>
    <w:p>
      <w:pPr>
        <w:spacing w:before="0" w:after="160" w:line="276" w:lineRule="auto"/>
        <w:jc w:val="both"/>
      </w:pPr>
      <w:r>
        <w:rPr>
          <w:rFonts w:ascii="Times New Roman" w:hAnsi="Times New Roman"/>
          <w:color w:val="000000"/>
          <w:sz w:val="22"/>
        </w:rPr>
        <w:t>the following.</w:t>
      </w:r>
    </w:p>
    <w:p>
      <w:pPr>
        <w:spacing w:before="0" w:after="160" w:line="276" w:lineRule="auto"/>
        <w:jc w:val="both"/>
      </w:pPr>
      <w:r>
        <w:rPr>
          <w:rFonts w:ascii="Times New Roman" w:hAnsi="Times New Roman"/>
          <w:color w:val="000000"/>
          <w:sz w:val="22"/>
        </w:rPr>
        <w:t>your concerns, in the context in which you have described them in the</w:t>
      </w:r>
    </w:p>
    <w:p>
      <w:pPr>
        <w:spacing w:before="0" w:after="160" w:line="276" w:lineRule="auto"/>
        <w:jc w:val="both"/>
      </w:pPr>
      <w:r>
        <w:rPr>
          <w:rFonts w:ascii="Times New Roman" w:hAnsi="Times New Roman"/>
          <w:color w:val="000000"/>
          <w:sz w:val="22"/>
        </w:rPr>
        <w:t>second paragraph of your message, are legitimate for a bahá’í, and you</w:t>
      </w:r>
    </w:p>
    <w:p>
      <w:pPr>
        <w:spacing w:before="0" w:after="160" w:line="276" w:lineRule="auto"/>
        <w:jc w:val="both"/>
      </w:pPr>
      <w:r>
        <w:rPr>
          <w:rFonts w:ascii="Times New Roman" w:hAnsi="Times New Roman"/>
          <w:color w:val="000000"/>
          <w:sz w:val="22"/>
        </w:rPr>
        <w:t>should not hesitate to express them, as you wish, in a manner that is in-tended to illumine the exchange of ideas in any discussion in which you</w:t>
      </w:r>
    </w:p>
    <w:p>
      <w:pPr>
        <w:spacing w:before="0" w:after="160" w:line="276" w:lineRule="auto"/>
        <w:jc w:val="both"/>
      </w:pPr>
      <w:r>
        <w:rPr>
          <w:rFonts w:ascii="Times New Roman" w:hAnsi="Times New Roman"/>
          <w:color w:val="000000"/>
          <w:sz w:val="22"/>
        </w:rPr>
        <w:t>may participate.</w:t>
      </w:r>
    </w:p>
    <w:p>
      <w:pPr>
        <w:spacing w:before="0" w:after="160" w:line="276" w:lineRule="auto"/>
        <w:jc w:val="both"/>
      </w:pPr>
      <w:r>
        <w:rPr>
          <w:rFonts w:ascii="Times New Roman" w:hAnsi="Times New Roman"/>
          <w:color w:val="000000"/>
          <w:sz w:val="22"/>
        </w:rPr>
        <w:t>The opportunity which electronic communication technology provides</w:t>
      </w:r>
    </w:p>
    <w:p>
      <w:pPr>
        <w:spacing w:before="0" w:after="160" w:line="276" w:lineRule="auto"/>
        <w:jc w:val="both"/>
      </w:pPr>
      <w:r>
        <w:rPr>
          <w:rFonts w:ascii="Times New Roman" w:hAnsi="Times New Roman"/>
          <w:color w:val="000000"/>
          <w:sz w:val="22"/>
        </w:rPr>
        <w:t>for more speedy and thorough consultation among the friends is highly significant. without doubt, it represents another manifestation of a devel-</w:t>
      </w:r>
    </w:p>
    <w:p>
      <w:pPr>
        <w:spacing w:before="0" w:after="160" w:line="276" w:lineRule="auto"/>
        <w:jc w:val="both"/>
      </w:pPr>
      <w:r>
        <w:rPr>
          <w:rFonts w:ascii="Times New Roman" w:hAnsi="Times New Roman"/>
          <w:color w:val="000000"/>
          <w:sz w:val="22"/>
        </w:rPr>
        <w:t>opment eagerly anticipated by the guardian when he foresaw the creation</w:t>
      </w:r>
    </w:p>
    <w:p>
      <w:pPr>
        <w:spacing w:before="0" w:after="160" w:line="276" w:lineRule="auto"/>
        <w:jc w:val="both"/>
      </w:pPr>
      <w:r>
        <w:rPr>
          <w:rFonts w:ascii="Times New Roman" w:hAnsi="Times New Roman"/>
          <w:color w:val="000000"/>
          <w:sz w:val="22"/>
        </w:rPr>
        <w:t>of “a mechanism of world intercommunication . . . embracing the whole</w:t>
      </w:r>
    </w:p>
    <w:p>
      <w:pPr>
        <w:spacing w:before="0" w:after="160" w:line="276" w:lineRule="auto"/>
        <w:jc w:val="both"/>
      </w:pPr>
      <w:r>
        <w:rPr>
          <w:rFonts w:ascii="Times New Roman" w:hAnsi="Times New Roman"/>
          <w:color w:val="000000"/>
          <w:sz w:val="22"/>
        </w:rPr>
        <w:t>planet, freed from national hindrances and restrictions, and functioning</w:t>
      </w:r>
    </w:p>
    <w:p>
      <w:pPr>
        <w:spacing w:before="0" w:after="160" w:line="276" w:lineRule="auto"/>
        <w:jc w:val="both"/>
      </w:pPr>
      <w:r>
        <w:rPr>
          <w:rFonts w:ascii="Times New Roman" w:hAnsi="Times New Roman"/>
          <w:color w:val="000000"/>
          <w:sz w:val="22"/>
        </w:rPr>
        <w:t>with marvelous swiftness and perfect regularity.”</w:t>
      </w:r>
    </w:p>
    <w:p>
      <w:pPr>
        <w:spacing w:before="0" w:after="160" w:line="276" w:lineRule="auto"/>
        <w:jc w:val="both"/>
      </w:pPr>
      <w:r>
        <w:rPr>
          <w:rFonts w:ascii="Times New Roman" w:hAnsi="Times New Roman"/>
          <w:color w:val="000000"/>
          <w:sz w:val="22"/>
        </w:rPr>
        <w:t>203-1</w:t>
      </w:r>
    </w:p>
    <w:p>
      <w:pPr>
        <w:spacing w:before="0" w:after="160" w:line="276" w:lineRule="auto"/>
        <w:jc w:val="both"/>
      </w:pPr>
      <w:r>
        <w:rPr>
          <w:rFonts w:ascii="Times New Roman" w:hAnsi="Times New Roman"/>
          <w:color w:val="000000"/>
          <w:sz w:val="22"/>
        </w:rPr>
        <w:t>As you well appreciate, the extent to which such technology advances the</w:t>
      </w:r>
    </w:p>
    <w:p>
      <w:pPr>
        <w:spacing w:before="0" w:after="160" w:line="276" w:lineRule="auto"/>
        <w:jc w:val="both"/>
      </w:pPr>
      <w:r>
        <w:rPr>
          <w:rFonts w:ascii="Times New Roman" w:hAnsi="Times New Roman"/>
          <w:color w:val="000000"/>
          <w:sz w:val="22"/>
        </w:rPr>
        <w:t>work of the faith depends, of course, on the manner in which it is used. As</w:t>
      </w:r>
    </w:p>
    <w:p>
      <w:pPr>
        <w:spacing w:before="0" w:after="160" w:line="276" w:lineRule="auto"/>
        <w:jc w:val="both"/>
      </w:pPr>
      <w:r>
        <w:rPr>
          <w:rFonts w:ascii="Times New Roman" w:hAnsi="Times New Roman"/>
          <w:color w:val="000000"/>
          <w:sz w:val="22"/>
        </w:rPr>
        <w:t>a medium for bahá’ís to exchange views, it imposes on participants the same</w:t>
      </w:r>
    </w:p>
    <w:p>
      <w:pPr>
        <w:spacing w:before="0" w:after="160" w:line="276" w:lineRule="auto"/>
        <w:jc w:val="both"/>
      </w:pPr>
      <w:r>
        <w:rPr>
          <w:rFonts w:ascii="Times New Roman" w:hAnsi="Times New Roman"/>
          <w:color w:val="000000"/>
          <w:sz w:val="22"/>
        </w:rPr>
        <w:t>requirements of moderation, candor, and courtesy as would be the case in</w:t>
      </w:r>
    </w:p>
    <w:p>
      <w:pPr>
        <w:spacing w:before="0" w:after="160" w:line="276" w:lineRule="auto"/>
        <w:jc w:val="both"/>
      </w:pPr>
      <w:r>
        <w:rPr>
          <w:rFonts w:ascii="Times New Roman" w:hAnsi="Times New Roman"/>
          <w:color w:val="000000"/>
          <w:sz w:val="22"/>
        </w:rPr>
        <w:t>any other discussion. likewise, those involved should avoid belittling the</w:t>
      </w:r>
    </w:p>
    <w:p>
      <w:pPr>
        <w:spacing w:before="0" w:after="160" w:line="276" w:lineRule="auto"/>
        <w:jc w:val="both"/>
      </w:pPr>
      <w:r>
        <w:rPr>
          <w:rFonts w:ascii="Times New Roman" w:hAnsi="Times New Roman"/>
          <w:color w:val="000000"/>
          <w:sz w:val="22"/>
        </w:rPr>
        <w:t>views of one another. in this regard, the house of justice has noted your</w:t>
      </w:r>
    </w:p>
    <w:p>
      <w:pPr>
        <w:spacing w:before="0" w:after="160" w:line="276" w:lineRule="auto"/>
        <w:jc w:val="both"/>
      </w:pPr>
      <w:r>
        <w:rPr>
          <w:rFonts w:ascii="Times New Roman" w:hAnsi="Times New Roman"/>
          <w:color w:val="000000"/>
          <w:sz w:val="22"/>
        </w:rPr>
        <w:t>understandable repugnance at an apparent temptation to use misleading and invidious labels like “traditionalists” and “liberals,” which divide the bahá’í community. To the extent that this divisive habit of mind may persist</w:t>
      </w:r>
    </w:p>
    <w:p>
      <w:pPr>
        <w:spacing w:before="0" w:after="160" w:line="276" w:lineRule="auto"/>
        <w:jc w:val="both"/>
      </w:pPr>
      <w:r>
        <w:rPr>
          <w:rFonts w:ascii="Times New Roman" w:hAnsi="Times New Roman"/>
          <w:color w:val="000000"/>
          <w:sz w:val="22"/>
        </w:rPr>
        <w:t>in the bahá’í community, it is obviously a carryover from non-b ahá’í society</w:t>
      </w:r>
    </w:p>
    <w:p>
      <w:pPr>
        <w:spacing w:before="0" w:after="160" w:line="276" w:lineRule="auto"/>
        <w:jc w:val="both"/>
      </w:pPr>
      <w:r>
        <w:rPr>
          <w:rFonts w:ascii="Times New Roman" w:hAnsi="Times New Roman"/>
          <w:color w:val="000000"/>
          <w:sz w:val="22"/>
        </w:rPr>
        <w:t>and a manifestation of an immature conception of life. if bahá’ís were to</w:t>
      </w:r>
    </w:p>
    <w:p>
      <w:pPr>
        <w:spacing w:before="0" w:after="160" w:line="276" w:lineRule="auto"/>
        <w:jc w:val="both"/>
      </w:pPr>
      <w:r>
        <w:rPr>
          <w:rFonts w:ascii="Times New Roman" w:hAnsi="Times New Roman"/>
          <w:color w:val="000000"/>
          <w:sz w:val="22"/>
        </w:rPr>
        <w:t>persist in this mode of thinking, it would bring to naught even the most</w:t>
      </w:r>
    </w:p>
    <w:p>
      <w:pPr>
        <w:spacing w:before="0" w:after="160" w:line="276" w:lineRule="auto"/>
        <w:jc w:val="both"/>
      </w:pPr>
      <w:r>
        <w:rPr>
          <w:rFonts w:ascii="Times New Roman" w:hAnsi="Times New Roman"/>
          <w:color w:val="000000"/>
          <w:sz w:val="22"/>
        </w:rPr>
        <w:t>203-1. wob, p. 203.203.1</w:t>
      </w:r>
    </w:p>
    <w:p>
      <w:pPr>
        <w:spacing w:before="280" w:after="120"/>
        <w:jc w:val="left"/>
      </w:pPr>
      <w:r>
        <w:rPr>
          <w:rFonts w:ascii="Times New Roman" w:hAnsi="Times New Roman"/>
          <w:b/>
          <w:color w:val="000000"/>
          <w:sz w:val="22"/>
        </w:rPr>
        <w:t>203.2</w:t>
      </w:r>
    </w:p>
    <w:p>
      <w:pPr>
        <w:spacing w:before="280" w:after="120"/>
        <w:jc w:val="left"/>
      </w:pPr>
      <w:r>
        <w:rPr>
          <w:rFonts w:ascii="Times New Roman" w:hAnsi="Times New Roman"/>
          <w:b/>
          <w:color w:val="000000"/>
          <w:sz w:val="22"/>
        </w:rPr>
        <w:t>203.3</w:t>
      </w:r>
    </w:p>
    <w:p>
      <w:pPr>
        <w:spacing w:before="280" w:after="120"/>
        <w:jc w:val="left"/>
      </w:pPr>
      <w:r>
        <w:rPr>
          <w:rFonts w:ascii="Times New Roman" w:hAnsi="Times New Roman"/>
          <w:b/>
          <w:color w:val="000000"/>
          <w:sz w:val="22"/>
        </w:rPr>
        <w:t>203.4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worthwhile intellectual endeavor, as has so conspicuously been the case with</w:t>
      </w:r>
    </w:p>
    <w:p>
      <w:pPr>
        <w:spacing w:before="0" w:after="160" w:line="276" w:lineRule="auto"/>
        <w:jc w:val="both"/>
      </w:pPr>
      <w:r>
        <w:rPr>
          <w:rFonts w:ascii="Times New Roman" w:hAnsi="Times New Roman"/>
          <w:color w:val="000000"/>
          <w:sz w:val="22"/>
        </w:rPr>
        <w:t>societies of the past.</w:t>
      </w:r>
    </w:p>
    <w:p>
      <w:pPr>
        <w:spacing w:before="0" w:after="160" w:line="276" w:lineRule="auto"/>
        <w:jc w:val="both"/>
      </w:pPr>
      <w:r>
        <w:rPr>
          <w:rFonts w:ascii="Times New Roman" w:hAnsi="Times New Roman"/>
          <w:color w:val="000000"/>
          <w:sz w:val="22"/>
        </w:rPr>
        <w:t>most important of all, as with any exploration by bahá’ís of the beliefs</w:t>
      </w:r>
    </w:p>
    <w:p>
      <w:pPr>
        <w:spacing w:before="0" w:after="160" w:line="276" w:lineRule="auto"/>
        <w:jc w:val="both"/>
      </w:pPr>
      <w:r>
        <w:rPr>
          <w:rFonts w:ascii="Times New Roman" w:hAnsi="Times New Roman"/>
          <w:color w:val="000000"/>
          <w:sz w:val="22"/>
        </w:rPr>
        <w:t>and practices of their faith, electronic discussion will serve the interests of</w:t>
      </w:r>
    </w:p>
    <w:p>
      <w:pPr>
        <w:spacing w:before="0" w:after="160" w:line="276" w:lineRule="auto"/>
        <w:jc w:val="both"/>
      </w:pPr>
      <w:r>
        <w:rPr>
          <w:rFonts w:ascii="Times New Roman" w:hAnsi="Times New Roman"/>
          <w:color w:val="000000"/>
          <w:sz w:val="22"/>
        </w:rPr>
        <w:t>the cause and its members only as it is conducted within the framework</w:t>
      </w:r>
    </w:p>
    <w:p>
      <w:pPr>
        <w:spacing w:before="0" w:after="160" w:line="276" w:lineRule="auto"/>
        <w:jc w:val="both"/>
      </w:pPr>
      <w:r>
        <w:rPr>
          <w:rFonts w:ascii="Times New Roman" w:hAnsi="Times New Roman"/>
          <w:color w:val="000000"/>
          <w:sz w:val="22"/>
        </w:rPr>
        <w:t>of the bahá’í Teachings and the truths they enshrine. To attempt to discuss</w:t>
      </w:r>
    </w:p>
    <w:p>
      <w:pPr>
        <w:spacing w:before="0" w:after="160" w:line="276" w:lineRule="auto"/>
        <w:jc w:val="both"/>
      </w:pPr>
      <w:r>
        <w:rPr>
          <w:rFonts w:ascii="Times New Roman" w:hAnsi="Times New Roman"/>
          <w:color w:val="000000"/>
          <w:sz w:val="22"/>
        </w:rPr>
        <w:t>the cause of god apart from or with disdain for the authoritative guidance</w:t>
      </w:r>
    </w:p>
    <w:p>
      <w:pPr>
        <w:spacing w:before="0" w:after="160" w:line="276" w:lineRule="auto"/>
        <w:jc w:val="both"/>
      </w:pPr>
      <w:r>
        <w:rPr>
          <w:rFonts w:ascii="Times New Roman" w:hAnsi="Times New Roman"/>
          <w:color w:val="000000"/>
          <w:sz w:val="22"/>
        </w:rPr>
        <w:t>inherent in these Teachings would clearly be a logical contradiction. To take the first point mentioned in your letter, it is obvious that seeking to impose limits on the universality of the authority of god’s manifestation would</w:t>
      </w:r>
    </w:p>
    <w:p>
      <w:pPr>
        <w:spacing w:before="0" w:after="160" w:line="276" w:lineRule="auto"/>
        <w:jc w:val="both"/>
      </w:pPr>
      <w:r>
        <w:rPr>
          <w:rFonts w:ascii="Times New Roman" w:hAnsi="Times New Roman"/>
          <w:color w:val="000000"/>
          <w:sz w:val="22"/>
        </w:rPr>
        <w:t>lead to the frustration of serious scholarly work and generate disharmony within an effort whose success depends precisely upon a spirit of unity and mutual trust. The standard is the one made clear by b ahá’u’lláh h imself:</w:t>
      </w:r>
    </w:p>
    <w:p>
      <w:pPr>
        <w:spacing w:before="0" w:after="160" w:line="276" w:lineRule="auto"/>
        <w:jc w:val="both"/>
      </w:pPr>
      <w:r>
        <w:rPr>
          <w:rFonts w:ascii="Times New Roman" w:hAnsi="Times New Roman"/>
          <w:color w:val="000000"/>
          <w:sz w:val="22"/>
        </w:rPr>
        <w:t>The essence of belief in divine unity consisteth in regarding him</w:t>
      </w:r>
    </w:p>
    <w:p>
      <w:pPr>
        <w:spacing w:before="0" w:after="160" w:line="276" w:lineRule="auto"/>
        <w:jc w:val="both"/>
      </w:pPr>
      <w:r>
        <w:rPr>
          <w:rFonts w:ascii="Times New Roman" w:hAnsi="Times New Roman"/>
          <w:color w:val="000000"/>
          <w:sz w:val="22"/>
        </w:rPr>
        <w:t>who is the manifestation of god and him who is the invisible, the</w:t>
      </w:r>
    </w:p>
    <w:p>
      <w:pPr>
        <w:spacing w:before="0" w:after="160" w:line="276" w:lineRule="auto"/>
        <w:jc w:val="both"/>
      </w:pPr>
      <w:r>
        <w:rPr>
          <w:rFonts w:ascii="Times New Roman" w:hAnsi="Times New Roman"/>
          <w:color w:val="000000"/>
          <w:sz w:val="22"/>
        </w:rPr>
        <w:t>inaccessible, the unknowable essence as one and the same. by this</w:t>
      </w:r>
    </w:p>
    <w:p>
      <w:pPr>
        <w:spacing w:before="0" w:after="160" w:line="276" w:lineRule="auto"/>
        <w:jc w:val="both"/>
      </w:pPr>
      <w:r>
        <w:rPr>
          <w:rFonts w:ascii="Times New Roman" w:hAnsi="Times New Roman"/>
          <w:color w:val="000000"/>
          <w:sz w:val="22"/>
        </w:rPr>
        <w:t>is meant that whatsoever pertaineth to the former, all his acts and</w:t>
      </w:r>
    </w:p>
    <w:p>
      <w:pPr>
        <w:spacing w:before="0" w:after="160" w:line="276" w:lineRule="auto"/>
        <w:jc w:val="both"/>
      </w:pPr>
      <w:r>
        <w:rPr>
          <w:rFonts w:ascii="Times New Roman" w:hAnsi="Times New Roman"/>
          <w:color w:val="000000"/>
          <w:sz w:val="22"/>
        </w:rPr>
        <w:t>doings, whatever he ordaineth or forbiddeth, should be considered,</w:t>
      </w:r>
    </w:p>
    <w:p>
      <w:pPr>
        <w:spacing w:before="0" w:after="160" w:line="276" w:lineRule="auto"/>
        <w:jc w:val="both"/>
      </w:pPr>
      <w:r>
        <w:rPr>
          <w:rFonts w:ascii="Times New Roman" w:hAnsi="Times New Roman"/>
          <w:color w:val="000000"/>
          <w:sz w:val="22"/>
        </w:rPr>
        <w:t>in all their aspects, and under all circumstances, and without any res-ervation, as identical with the w ill of g od h imself.</w:t>
      </w:r>
    </w:p>
    <w:p>
      <w:pPr>
        <w:spacing w:before="0" w:after="160" w:line="276" w:lineRule="auto"/>
        <w:jc w:val="both"/>
      </w:pPr>
      <w:r>
        <w:rPr>
          <w:rFonts w:ascii="Times New Roman" w:hAnsi="Times New Roman"/>
          <w:color w:val="000000"/>
          <w:sz w:val="22"/>
        </w:rPr>
        <w:t>203-2</w:t>
      </w:r>
    </w:p>
    <w:p>
      <w:pPr>
        <w:spacing w:before="0" w:after="160" w:line="276" w:lineRule="auto"/>
        <w:jc w:val="both"/>
      </w:pPr>
      <w:r>
        <w:rPr>
          <w:rFonts w:ascii="Times New Roman" w:hAnsi="Times New Roman"/>
          <w:color w:val="000000"/>
          <w:sz w:val="22"/>
        </w:rPr>
        <w:t>with regard to the harmony of science and religion, the writings of the</w:t>
      </w:r>
    </w:p>
    <w:p>
      <w:pPr>
        <w:spacing w:before="0" w:after="160" w:line="276" w:lineRule="auto"/>
        <w:jc w:val="both"/>
      </w:pPr>
      <w:r>
        <w:rPr>
          <w:rFonts w:ascii="Times New Roman" w:hAnsi="Times New Roman"/>
          <w:color w:val="000000"/>
          <w:sz w:val="22"/>
        </w:rPr>
        <w:t>central figures and the commentaries of the guardian make abundantly</w:t>
      </w:r>
    </w:p>
    <w:p>
      <w:pPr>
        <w:spacing w:before="0" w:after="160" w:line="276" w:lineRule="auto"/>
        <w:jc w:val="both"/>
      </w:pPr>
      <w:r>
        <w:rPr>
          <w:rFonts w:ascii="Times New Roman" w:hAnsi="Times New Roman"/>
          <w:color w:val="000000"/>
          <w:sz w:val="22"/>
        </w:rPr>
        <w:t>clear that the task of humanity, including the bahá’í community that serves</w:t>
      </w:r>
    </w:p>
    <w:p>
      <w:pPr>
        <w:spacing w:before="0" w:after="160" w:line="276" w:lineRule="auto"/>
        <w:jc w:val="both"/>
      </w:pPr>
      <w:r>
        <w:rPr>
          <w:rFonts w:ascii="Times New Roman" w:hAnsi="Times New Roman"/>
          <w:color w:val="000000"/>
          <w:sz w:val="22"/>
        </w:rPr>
        <w:t>as the “leaven” within it, is to create a global civilization which embodies both the spiritual and material dimensions of existence. The nature and scope of such a civilization are still beyond anything the present genera-</w:t>
      </w:r>
    </w:p>
    <w:p>
      <w:pPr>
        <w:spacing w:before="0" w:after="160" w:line="276" w:lineRule="auto"/>
        <w:jc w:val="both"/>
      </w:pPr>
      <w:r>
        <w:rPr>
          <w:rFonts w:ascii="Times New Roman" w:hAnsi="Times New Roman"/>
          <w:color w:val="000000"/>
          <w:sz w:val="22"/>
        </w:rPr>
        <w:t>tion can conceive. The prosecution of this vast enterprise will depend on a</w:t>
      </w:r>
    </w:p>
    <w:p>
      <w:pPr>
        <w:spacing w:before="0" w:after="160" w:line="276" w:lineRule="auto"/>
        <w:jc w:val="both"/>
      </w:pPr>
      <w:r>
        <w:rPr>
          <w:rFonts w:ascii="Times New Roman" w:hAnsi="Times New Roman"/>
          <w:color w:val="000000"/>
          <w:sz w:val="22"/>
        </w:rPr>
        <w:t>progressive interaction between the truths and principles of religion and the discoveries and insights of scientific inquiry. This entails living with ambi-guities as a natural and inescapable feature of the process of exploring real-</w:t>
      </w:r>
    </w:p>
    <w:p>
      <w:pPr>
        <w:spacing w:before="0" w:after="160" w:line="276" w:lineRule="auto"/>
        <w:jc w:val="both"/>
      </w:pPr>
      <w:r>
        <w:rPr>
          <w:rFonts w:ascii="Times New Roman" w:hAnsi="Times New Roman"/>
          <w:color w:val="000000"/>
          <w:sz w:val="22"/>
        </w:rPr>
        <w:t>ity. it also requires us not to limit science to any particular school of thought</w:t>
      </w:r>
    </w:p>
    <w:p>
      <w:pPr>
        <w:spacing w:before="0" w:after="160" w:line="276" w:lineRule="auto"/>
        <w:jc w:val="both"/>
      </w:pPr>
      <w:r>
        <w:rPr>
          <w:rFonts w:ascii="Times New Roman" w:hAnsi="Times New Roman"/>
          <w:color w:val="000000"/>
          <w:sz w:val="22"/>
        </w:rPr>
        <w:t>or methodological approach postulated in the course of its development.</w:t>
      </w:r>
    </w:p>
    <w:p>
      <w:pPr>
        <w:spacing w:before="0" w:after="160" w:line="276" w:lineRule="auto"/>
        <w:jc w:val="both"/>
      </w:pPr>
      <w:r>
        <w:rPr>
          <w:rFonts w:ascii="Times New Roman" w:hAnsi="Times New Roman"/>
          <w:color w:val="000000"/>
          <w:sz w:val="22"/>
        </w:rPr>
        <w:t>The challenge facing bahá’í thinkers is to provide responsible leadership</w:t>
      </w:r>
    </w:p>
    <w:p>
      <w:pPr>
        <w:spacing w:before="0" w:after="160" w:line="276" w:lineRule="auto"/>
        <w:jc w:val="both"/>
      </w:pPr>
      <w:r>
        <w:rPr>
          <w:rFonts w:ascii="Times New Roman" w:hAnsi="Times New Roman"/>
          <w:color w:val="000000"/>
          <w:sz w:val="22"/>
        </w:rPr>
        <w:t>203-2. gwb, no. 84.4.203.5</w:t>
      </w:r>
    </w:p>
    <w:p>
      <w:pPr>
        <w:spacing w:before="280" w:after="120"/>
        <w:jc w:val="left"/>
      </w:pPr>
      <w:r>
        <w:rPr>
          <w:rFonts w:ascii="Times New Roman" w:hAnsi="Times New Roman"/>
          <w:b/>
          <w:color w:val="000000"/>
          <w:sz w:val="22"/>
        </w:rPr>
        <w:t>203.5a</w:t>
      </w:r>
    </w:p>
    <w:p>
      <w:pPr>
        <w:spacing w:before="280" w:after="120"/>
        <w:jc w:val="left"/>
      </w:pPr>
      <w:r>
        <w:rPr>
          <w:rFonts w:ascii="Times New Roman" w:hAnsi="Times New Roman"/>
          <w:b/>
          <w:color w:val="000000"/>
          <w:sz w:val="22"/>
        </w:rPr>
        <w:t>203.6</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5in this endeavor, since it is they who have both the priceless insights of the</w:t>
      </w:r>
    </w:p>
    <w:p>
      <w:pPr>
        <w:spacing w:before="0" w:after="160" w:line="276" w:lineRule="auto"/>
        <w:jc w:val="both"/>
      </w:pPr>
      <w:r>
        <w:rPr>
          <w:rFonts w:ascii="Times New Roman" w:hAnsi="Times New Roman"/>
          <w:color w:val="000000"/>
          <w:sz w:val="22"/>
        </w:rPr>
        <w:t>revelation and the advantages conferred by scientific investigation.</w:t>
      </w:r>
    </w:p>
    <w:p>
      <w:pPr>
        <w:spacing w:before="0" w:after="160" w:line="276" w:lineRule="auto"/>
        <w:jc w:val="both"/>
      </w:pPr>
      <w:r>
        <w:rPr>
          <w:rFonts w:ascii="Times New Roman" w:hAnsi="Times New Roman"/>
          <w:color w:val="000000"/>
          <w:sz w:val="22"/>
        </w:rPr>
        <w:t>The ease and relative impersonality of the electronic medium require in</w:t>
      </w:r>
    </w:p>
    <w:p>
      <w:pPr>
        <w:spacing w:before="0" w:after="160" w:line="276" w:lineRule="auto"/>
        <w:jc w:val="both"/>
      </w:pPr>
      <w:r>
        <w:rPr>
          <w:rFonts w:ascii="Times New Roman" w:hAnsi="Times New Roman"/>
          <w:color w:val="000000"/>
          <w:sz w:val="22"/>
        </w:rPr>
        <w:t>some ways an even higher level of self-discipline than is the case in situa-tions where a spirit of unity is reinforced by the opportunity for direct per-sonal contact and social interaction. in the pursuit of such a spirit of unity,</w:t>
      </w:r>
    </w:p>
    <w:p>
      <w:pPr>
        <w:spacing w:before="0" w:after="160" w:line="276" w:lineRule="auto"/>
        <w:jc w:val="both"/>
      </w:pPr>
      <w:r>
        <w:rPr>
          <w:rFonts w:ascii="Times New Roman" w:hAnsi="Times New Roman"/>
          <w:color w:val="000000"/>
          <w:sz w:val="22"/>
        </w:rPr>
        <w:t>bahá’ís will, without doubt, wish to assist the consultative processes by</w:t>
      </w:r>
    </w:p>
    <w:p>
      <w:pPr>
        <w:spacing w:before="0" w:after="160" w:line="276" w:lineRule="auto"/>
        <w:jc w:val="both"/>
      </w:pPr>
      <w:r>
        <w:rPr>
          <w:rFonts w:ascii="Times New Roman" w:hAnsi="Times New Roman"/>
          <w:color w:val="000000"/>
          <w:sz w:val="22"/>
        </w:rPr>
        <w:t>sharing and discussing relevant bahá’í texts. This will itself have the further</w:t>
      </w:r>
    </w:p>
    <w:p>
      <w:pPr>
        <w:spacing w:before="0" w:after="160" w:line="276" w:lineRule="auto"/>
        <w:jc w:val="both"/>
      </w:pPr>
      <w:r>
        <w:rPr>
          <w:rFonts w:ascii="Times New Roman" w:hAnsi="Times New Roman"/>
          <w:color w:val="000000"/>
          <w:sz w:val="22"/>
        </w:rPr>
        <w:t>effect of drawing attention back to the framework of b ahá’í belief.</w:t>
      </w:r>
    </w:p>
    <w:p>
      <w:pPr>
        <w:spacing w:before="0" w:after="160" w:line="276" w:lineRule="auto"/>
        <w:jc w:val="both"/>
      </w:pPr>
      <w:r>
        <w:rPr>
          <w:rFonts w:ascii="Times New Roman" w:hAnsi="Times New Roman"/>
          <w:color w:val="000000"/>
          <w:sz w:val="22"/>
        </w:rPr>
        <w:t>The house of justice assures you of its prayers in the holy Shrines on</w:t>
      </w:r>
    </w:p>
    <w:p>
      <w:pPr>
        <w:spacing w:before="0" w:after="160" w:line="276" w:lineRule="auto"/>
        <w:jc w:val="both"/>
      </w:pPr>
      <w:r>
        <w:rPr>
          <w:rFonts w:ascii="Times New Roman" w:hAnsi="Times New Roman"/>
          <w:color w:val="000000"/>
          <w:sz w:val="22"/>
        </w:rPr>
        <w:t>your behalf that the abundant confirmations of bahá’u’lláh may ever sustain</w:t>
      </w:r>
    </w:p>
    <w:p>
      <w:pPr>
        <w:spacing w:before="0" w:after="160" w:line="276" w:lineRule="auto"/>
        <w:jc w:val="both"/>
      </w:pPr>
      <w:r>
        <w:rPr>
          <w:rFonts w:ascii="Times New Roman" w:hAnsi="Times New Roman"/>
          <w:color w:val="000000"/>
          <w:sz w:val="22"/>
        </w:rPr>
        <w:t>you.</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204</w:t>
      </w:r>
    </w:p>
    <w:p>
      <w:pPr>
        <w:spacing w:before="0" w:after="160" w:line="276" w:lineRule="auto"/>
        <w:jc w:val="both"/>
      </w:pPr>
      <w:r>
        <w:rPr>
          <w:rFonts w:ascii="Times New Roman" w:hAnsi="Times New Roman"/>
          <w:color w:val="000000"/>
          <w:sz w:val="22"/>
        </w:rPr>
        <w:t>Emergency Contributions</w:t>
      </w:r>
    </w:p>
    <w:p>
      <w:pPr>
        <w:spacing w:before="0" w:after="160" w:line="276" w:lineRule="auto"/>
        <w:jc w:val="both"/>
      </w:pPr>
      <w:r>
        <w:rPr>
          <w:rFonts w:ascii="Times New Roman" w:hAnsi="Times New Roman"/>
          <w:color w:val="000000"/>
          <w:sz w:val="22"/>
        </w:rPr>
        <w:t>to Mount Carmel Project Funds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(1995-05-19)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