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1995-06-20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emergency mission undertaken at our request by one of our 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bers, accompanied by a member of the international Teaching center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chief financial officer of the bahá’í world center, who visited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States, canada, and europe and apprised the friends of the possible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crisis that could affect the progress of the mount carmel projects if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shortfall of uS$40 million was not contributed by the end of the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plan, has just been completed. with deep satisfaction we are glad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announce that the total sum has been ensured through immediate contribu-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tions, firm pledges, and donations in kind, enabling this vital enterprise,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is progressing at full force, to proceed without any need to interrupt the construction work. heartfelt acknowledgement is due to all those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areas visited and elsewhere who heroically stepped forward and made sacrificial offerings for the furtherance of this vast undertaking so highly extolled by the beloved g uardian.203.7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203.8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204.1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6from the conclusion of the Three year plan, approximately uS$10 mil-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lion annually will still be required until the end of the century,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underway on m ount carmel are expected to be completed.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all pledges are duly honored, as anticipated, and more friends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above-named areas, as well as the rest of the world, will continue to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loving contributions towards this historic undertaking during this last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of the Three year plan, the estimated amount of uS$10 million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annual contributions mentioned above will correspondingly be reduced,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enabling the world center to direct its attention with less anxiety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 needs of the expansion, consolidation, and proclamation work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throughout all continents.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Homosexuality and the Bahá’í Faith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(1995-06-20)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