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1995-10-18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 . . T urning first to the questions which you raised earlier, regarding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so-called “Tablet on hypocrisy”: At item 39 of the compilation entitled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Trustworthiness there appears an english translation of a Tablet revealed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 which includes a reference to hypocrisy.206-1 This may be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passage to which you refer. i t reads as follows: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thou of the people of hell-fire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be not a hypocrite.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thou an unbeliever,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be not a plotter.make thy home in taverns,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tread not the pathof the mischief-maker.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fear thou g od,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not the priest.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206-2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give to the executioner thy head,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not thy heart.let thine abode be under the stone,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seek not the shelter of the cleric.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Thus doth the holy reed intone its melodies, and the Nightingale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paradise warble its song, so that he may infuse life eternal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mortal frames of men, impart to the temples of dust the essence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holy Spirit and the heavenly light, and draw the transient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world, through the potency of a single word, unto the everlasting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kingdom.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206-3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206-1. See cc 2, pp. 327–54.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206-2. Note that in the published version “people” has been incorrectly given for “priest.”206-3. cc 2:2050.206.1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206.1a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206.1b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1993–1996  •  T h e  Th r e e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5in this connection we have been asked to make the following comments.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is an important distinction between hypocrisy on the one hand and,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the other, such attitudes as turning a blind eye to the faults of others, or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concealing one’s own faults through a feeling of shame. This distinction plays an important role in the attitude of Spiritual Assemblies towards the members of its community, as well as in the relationship between individuals.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standards of behavior are very high, and it is the task of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 to assist the friends in their communities to deepen their un-derstanding of the Teachings and to improve the quality of their lives in obedience to bahá’í laws and principles. At the same time, it is recognized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individuals are imperfect and that we all fall short, in one way or an-other, of the exalted standard which bahá’u’lláh has established.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 and individual believers alike are urged to recognize this fact,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to assume that each person is, in his own life, striving to overcome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imperfections. Thus, ‘Abdu’l-b ahá calls upon each individual to look at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person’s good qualities rather than the bad, even though there may be only one good one and ten bad ones. Such an attitude is in no way to be equated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hypocrisy.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Spiritual Assembly, for its part, is instructed not to pry into the lives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believers in its community. before it takes action to caution a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his misconduct, such misconduct should be blatant and thus cre-ate a problem not only for the community and the individuals concerned,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but also for the good name of the faith. A Spiritual Assembly may be well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aware that one of the members of its community has still not fully overcome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habit of drinking alcohol which he had before accepting the faith,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chooses to say nothing about it. This is not hypocrisy on its part, it is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exercise of patience and wisdom in dealing with the problem. Nor is the fact that the believer in question drinks secretly necessarily an evidence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hypocrisy on his part, it may simply be a combination of weakness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face of temptation and of shame at this weakness. if, however, a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openly states that he holds the bahá’í prohibition on drinking alcohol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an anachronism, and brazenly drinks in public, such an attitude is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opposite of hypocrisy, it is a blatant disdain for bahá’í standards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would require the Spiritual Assembly’s intervention.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same principles apply to other moral delinquencies. in the area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sexual morality, a bahá’í may occasionally behave in a manner which is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trary to bahá’í standards, because he does not exercise the strength of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necessary to resist temptation. for individuals to gossip about such a lapse is 206.2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206.3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206.4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206.5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5backbiting, which is itself condemned in the faith. An Assembly would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normally intervene unless it has reason to believe that such lapses constitute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blatant disregard of b ahá’í law.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assured of the continued prayers of the house of justice at the Sacred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Threshold on your behalf that you may be divinely assisted and guided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serving the cause we love so well.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Appointment of Continental Counselors and Increase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Number of Continental Counselors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(1995-10-18)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