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1997-01-28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iran that mr. dhabí¥u’lláh ma¥ramí and mr. músá øálibí, both of whom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had been condemned to death for apostasy and had appealed against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unjust sentences, have been notified that the Supreme court of iran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confirmed the death sentences imposed by the r evolutionary courts.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news was received by relatives of mr. ma¥ramí and mr. øálibí dur-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prison visits. it has been the practice of the iranian authorities to convey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verdicts orally to prisoners, and not to give them a copy of the actual text of the court decision.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worrying development is that mr. øálibí, until now in prison in i¦fahán,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been transferred to the notorious evin prison in øihrán. Similarly,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ma¥ramí has been moved within yazd, from the prison of the revo-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lutionary court to that of the Security and i nformation d epartment.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our letters of 2 April 1996 and 27 September 1996 give details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cases of mr. ma¥ramí and mr. øálibí respectively, and the update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situation in iran sent by the united Nations office of the bahá’í inter-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community earlier this month provides further information.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recently received the following personal details from the friends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iran. mr. ma¥ramí is married and has four children, three daughters, two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married and one unmarried, and one unmarried son; mr. øálibí is in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mid sixties, is married and has a family of adult children, two of whom live in canada, one in Australia and the others in the family’s home town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víláshahr, i¦fahán.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are two more bahá’ís presently under the death sentence in iran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because of their beliefs, mr. kayván khalajábádí and mr. bihnám mítháqí,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were first arrested in 1989, and have been kept in prison in suspense since that time.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secretariat239.1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239.2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239.3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239.4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239.5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557240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Call for Contributions to the Bahá'í International Fund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</dc:title>
  <dc:subject>Bahá'í Guidance (1997-01-28)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