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1997-07-07</w:t>
      </w:r>
    </w:p>
    <w:p>
      <w:pPr>
        <w:spacing w:before="0" w:after="360"/>
        <w:jc w:val="left"/>
      </w:pPr>
      <w:r>
        <w:rPr>
          <w:rFonts w:ascii="Times New Roman" w:hAnsi="Times New Roman"/>
          <w:b w:val="0"/>
          <w:color w:val="000000"/>
          <w:sz w:val="22"/>
        </w:rPr>
        <w:t>To the e uropean b ahá’í y outh council</w:t>
      </w:r>
    </w:p>
    <w:p>
      <w:pPr>
        <w:spacing w:before="0" w:after="160" w:line="276" w:lineRule="auto"/>
        <w:jc w:val="both"/>
      </w:pPr>
      <w:r>
        <w:rPr>
          <w:rFonts w:ascii="Times New Roman" w:hAnsi="Times New Roman"/>
          <w:color w:val="000000"/>
          <w:sz w:val="22"/>
        </w:rPr>
        <w:t>june 1997 regarding the seven regional seminars which will take place in</w:t>
      </w:r>
    </w:p>
    <w:p>
      <w:pPr>
        <w:spacing w:before="0" w:after="160" w:line="276" w:lineRule="auto"/>
        <w:jc w:val="both"/>
      </w:pPr>
      <w:r>
        <w:rPr>
          <w:rFonts w:ascii="Times New Roman" w:hAnsi="Times New Roman"/>
          <w:color w:val="000000"/>
          <w:sz w:val="22"/>
        </w:rPr>
        <w:t>july. it warmly commends your consecrated efforts to inspire the bahá’í</w:t>
      </w:r>
    </w:p>
    <w:p>
      <w:pPr>
        <w:spacing w:before="0" w:after="160" w:line="276" w:lineRule="auto"/>
        <w:jc w:val="both"/>
      </w:pPr>
      <w:r>
        <w:rPr>
          <w:rFonts w:ascii="Times New Roman" w:hAnsi="Times New Roman"/>
          <w:color w:val="000000"/>
          <w:sz w:val="22"/>
        </w:rPr>
        <w:t>youth in europe to arise with enthusiasm and dedication and render valu-</w:t>
      </w:r>
    </w:p>
    <w:p>
      <w:pPr>
        <w:spacing w:before="0" w:after="160" w:line="276" w:lineRule="auto"/>
        <w:jc w:val="both"/>
      </w:pPr>
      <w:r>
        <w:rPr>
          <w:rFonts w:ascii="Times New Roman" w:hAnsi="Times New Roman"/>
          <w:color w:val="000000"/>
          <w:sz w:val="22"/>
        </w:rPr>
        <w:t>able services for the progress of the cause throughout the continent. The</w:t>
      </w:r>
    </w:p>
    <w:p>
      <w:pPr>
        <w:spacing w:before="0" w:after="160" w:line="276" w:lineRule="auto"/>
        <w:jc w:val="both"/>
      </w:pPr>
      <w:r>
        <w:rPr>
          <w:rFonts w:ascii="Times New Roman" w:hAnsi="Times New Roman"/>
          <w:color w:val="000000"/>
          <w:sz w:val="22"/>
        </w:rPr>
        <w:t>house of justice is delighted that the bahá’í youth in europe are coming</w:t>
      </w:r>
    </w:p>
    <w:p>
      <w:pPr>
        <w:spacing w:before="0" w:after="160" w:line="276" w:lineRule="auto"/>
        <w:jc w:val="both"/>
      </w:pPr>
      <w:r>
        <w:rPr>
          <w:rFonts w:ascii="Times New Roman" w:hAnsi="Times New Roman"/>
          <w:color w:val="000000"/>
          <w:sz w:val="22"/>
        </w:rPr>
        <w:t>together to address the role each one is called upon to play in this extraor-dinary period of opportunities and challenges between now and the end of the century.</w:t>
      </w:r>
    </w:p>
    <w:p>
      <w:pPr>
        <w:spacing w:before="0" w:after="160" w:line="276" w:lineRule="auto"/>
        <w:jc w:val="both"/>
      </w:pPr>
      <w:r>
        <w:rPr>
          <w:rFonts w:ascii="Times New Roman" w:hAnsi="Times New Roman"/>
          <w:color w:val="000000"/>
          <w:sz w:val="22"/>
        </w:rPr>
        <w:t>At every stage in the growth of the faith, youth have made vital con-</w:t>
      </w:r>
    </w:p>
    <w:p>
      <w:pPr>
        <w:spacing w:before="0" w:after="160" w:line="276" w:lineRule="auto"/>
        <w:jc w:val="both"/>
      </w:pPr>
      <w:r>
        <w:rPr>
          <w:rFonts w:ascii="Times New Roman" w:hAnsi="Times New Roman"/>
          <w:color w:val="000000"/>
          <w:sz w:val="22"/>
        </w:rPr>
        <w:t>tributions to the progress which has been achieved in its expansion and consolidation. The bahá’í youth must now seize the abundant opportuni-</w:t>
      </w:r>
    </w:p>
    <w:p>
      <w:pPr>
        <w:spacing w:before="0" w:after="160" w:line="276" w:lineRule="auto"/>
        <w:jc w:val="both"/>
      </w:pPr>
      <w:r>
        <w:rPr>
          <w:rFonts w:ascii="Times New Roman" w:hAnsi="Times New Roman"/>
          <w:color w:val="000000"/>
          <w:sz w:val="22"/>
        </w:rPr>
        <w:t>ties before them to awaken mankind to the divine purpose of human existence, and to attract not only their peers but all the waiting souls to the truth of bahá’u’lláh’s revelation. Although the task is great, let them</w:t>
      </w:r>
    </w:p>
    <w:p>
      <w:pPr>
        <w:spacing w:before="0" w:after="160" w:line="276" w:lineRule="auto"/>
        <w:jc w:val="both"/>
      </w:pPr>
      <w:r>
        <w:rPr>
          <w:rFonts w:ascii="Times New Roman" w:hAnsi="Times New Roman"/>
          <w:color w:val="000000"/>
          <w:sz w:val="22"/>
        </w:rPr>
        <w:t>not hesitate. The house of justice is confident that, equipped with the</w:t>
      </w:r>
    </w:p>
    <w:p>
      <w:pPr>
        <w:spacing w:before="0" w:after="160" w:line="276" w:lineRule="auto"/>
        <w:jc w:val="both"/>
      </w:pPr>
      <w:r>
        <w:rPr>
          <w:rFonts w:ascii="Times New Roman" w:hAnsi="Times New Roman"/>
          <w:color w:val="000000"/>
          <w:sz w:val="22"/>
        </w:rPr>
        <w:t>Sacred writings for guidance, and sustained by the unfailing assistance</w:t>
      </w:r>
    </w:p>
    <w:p>
      <w:pPr>
        <w:spacing w:before="0" w:after="160" w:line="276" w:lineRule="auto"/>
        <w:jc w:val="both"/>
      </w:pPr>
      <w:r>
        <w:rPr>
          <w:rFonts w:ascii="Times New Roman" w:hAnsi="Times New Roman"/>
          <w:color w:val="000000"/>
          <w:sz w:val="22"/>
        </w:rPr>
        <w:t>of the concourse on high, they will achieve success in all their endeav-</w:t>
      </w:r>
    </w:p>
    <w:p>
      <w:pPr>
        <w:spacing w:before="0" w:after="160" w:line="276" w:lineRule="auto"/>
        <w:jc w:val="both"/>
      </w:pPr>
      <w:r>
        <w:rPr>
          <w:rFonts w:ascii="Times New Roman" w:hAnsi="Times New Roman"/>
          <w:color w:val="000000"/>
          <w:sz w:val="22"/>
        </w:rPr>
        <w:t>ors to serve this precious faith.251.12</w:t>
      </w:r>
    </w:p>
    <w:p>
      <w:pPr>
        <w:spacing w:before="280" w:after="120"/>
        <w:jc w:val="left"/>
      </w:pPr>
      <w:r>
        <w:rPr>
          <w:rFonts w:ascii="Times New Roman" w:hAnsi="Times New Roman"/>
          <w:b/>
          <w:color w:val="000000"/>
          <w:sz w:val="22"/>
        </w:rPr>
        <w:t>251.13</w:t>
      </w:r>
    </w:p>
    <w:p>
      <w:pPr>
        <w:spacing w:before="280" w:after="120"/>
        <w:jc w:val="left"/>
      </w:pPr>
      <w:r>
        <w:rPr>
          <w:rFonts w:ascii="Times New Roman" w:hAnsi="Times New Roman"/>
          <w:b/>
          <w:color w:val="000000"/>
          <w:sz w:val="22"/>
        </w:rPr>
        <w:t>252.1</w:t>
      </w:r>
    </w:p>
    <w:p>
      <w:pPr>
        <w:spacing w:before="280" w:after="120"/>
        <w:jc w:val="left"/>
      </w:pPr>
      <w:r>
        <w:rPr>
          <w:rFonts w:ascii="Times New Roman" w:hAnsi="Times New Roman"/>
          <w:b/>
          <w:color w:val="000000"/>
          <w:sz w:val="22"/>
        </w:rPr>
        <w:t>252.2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598you may be sure of the prayers of the house of justice at the Sacred</w:t>
      </w:r>
    </w:p>
    <w:p>
      <w:pPr>
        <w:spacing w:before="0" w:after="160" w:line="276" w:lineRule="auto"/>
        <w:jc w:val="both"/>
      </w:pPr>
      <w:r>
        <w:rPr>
          <w:rFonts w:ascii="Times New Roman" w:hAnsi="Times New Roman"/>
          <w:color w:val="000000"/>
          <w:sz w:val="22"/>
        </w:rPr>
        <w:t>Threshold beseeching the blessed beauty to aid and strengthen every step</w:t>
      </w:r>
    </w:p>
    <w:p>
      <w:pPr>
        <w:spacing w:before="0" w:after="160" w:line="276" w:lineRule="auto"/>
        <w:jc w:val="both"/>
      </w:pPr>
      <w:r>
        <w:rPr>
          <w:rFonts w:ascii="Times New Roman" w:hAnsi="Times New Roman"/>
          <w:color w:val="000000"/>
          <w:sz w:val="22"/>
        </w:rPr>
        <w:t>the devoted b ahá’í youth in e urope take in h is path.</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253</w:t>
      </w:r>
    </w:p>
    <w:p>
      <w:pPr>
        <w:spacing w:before="0" w:after="160" w:line="276" w:lineRule="auto"/>
        <w:jc w:val="both"/>
      </w:pPr>
      <w:r>
        <w:rPr>
          <w:rFonts w:ascii="Times New Roman" w:hAnsi="Times New Roman"/>
          <w:color w:val="000000"/>
          <w:sz w:val="22"/>
        </w:rPr>
        <w:t>Bahá’í International Community’s United Nations</w:t>
      </w:r>
    </w:p>
    <w:p>
      <w:pPr>
        <w:spacing w:before="0" w:after="160" w:line="276" w:lineRule="auto"/>
        <w:jc w:val="both"/>
      </w:pPr>
      <w:r>
        <w:rPr>
          <w:rFonts w:ascii="Times New Roman" w:hAnsi="Times New Roman"/>
          <w:color w:val="000000"/>
          <w:sz w:val="22"/>
        </w:rPr>
        <w:t>Office and 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e uropean b aháí y outh council</dc:title>
  <dc:subject>Bahá'í Guidance (1997-07-07)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