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1998-05-21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enclosed persian original and english translation of an extraordinary ver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dict handed down by court of Appeals Number eight for the province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khurásán, 18 September 1997, against two members of the iranian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community, mr. jamáli’d- dín þájípúr and mr. man¦ur mihrábí.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both defendants had appealed against sentences passed on them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revolutionary court Number one in bírjand, iran, which had sentenced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of them to two years imprisonment and the confiscation of property.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appeals court upheld the decisions of the lower court. This document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being sent so that you may share it with your government and draw attention to those statements that indicate the atmosphere in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of iran live.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with many other judgments by iranian courts, the document provides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evidence that members of the bahá’í faith in iran are being arrested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condemned solely because of their membership in what is described as “the wayward bahá’í sect.” The statement in the verdict that “b ahá’ísm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recognized as an illegal organization” makes a mockery of the iranian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regime’s claim that bahá’ís nevertheless retain their rights to the observance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religious beliefs. charges brought against the defendants mention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they have “regularly been holding bahá’í feasts and meetings on ‘b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life,’” adducing such activities as evidence of criminal behavior, including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“espionage” for the state of i srael.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is startling in the text of the judgment, however, is that it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accepts as evidence of illegal activity such actions of the two defendants as holding classes for bahá’í youth in, respectively, english language studies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science and technology. The charges note, without apparent embarrass-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on the part of the iranian judicial authorities, that the two convicted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persons carried out these activities “with the intention of improving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standard of education of bahá’í students and their families.” The context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behavior of the defendants has to be seen derives, of course, from 268.1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268.3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622the fact that the iranian regime has arbitrarily excluded bahá’í students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higher education solely on grounds of their religious affiliation.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senior bahá’ís like the two defendants have been free to offer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services in this regard is, of course, the result of their having been dis-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missed—again solely on grounds of their religious affiliation—from their employment. The charges upheld by the appeals court leave no doubt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point, noting in passing that mr. m ihrábí had been dismissed from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position “as a result of the cleansing procedures.”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will be apparent to your National Assembly that the persecution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messrs. þájípúr and mihrábí is part and parcel of the continuing attempt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suffocate the spiritual and community life of the iranian believers,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called for in the secret memorandum endorsed by the iranian head of State,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Ayatollah khamenei, a copy of which was submitted to the united 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human rights commission by its Special representative, professor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reynaldo g alindo p ohl.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general issue of the protection of the civil rights of the members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iranian bahá’í community is under close and continuing scrutiny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Nations, the general Assembly having adopted, on 12 december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1997, a resolution (52/142) calling unambiguously for the government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iran to “implement fully the conclusions and recommendations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Special rapporteur of the commission on human rights on religious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tolerance relating to the bahá’ís . . . until they are completely emancipated.”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recommendations included the restoration of the bahá’í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nity’s rights in the administration of its affairs and the rights of its youth to education.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secretariat268.4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268.6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62269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 of the National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Slovakia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(1998-05-21)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