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1998-05-23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Slovakia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dearly 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emergence of the independent National Spiritual Assembly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of Slovakia at the midpoint of the four year plan is a cause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rejoicing for the whole bahá’í world. it is the fruit of the self-sacrificing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endeavors of the devoted believers, whether pioneers or native czechs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Slovaks, who have raised up so many soundly based, spiritually motivated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communities in the course of the past decade. And looking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back still, we see the foundations of these achievements in the travels of out-standing bahá’í teachers such as martha root, in the extraordinary response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leading czechoslovak statesmen to the Teachings of bahá’u’lláh, and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heroic steadfastness of the early believers who kept alive the spark of the faith through so many dark years of suffering.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stand now on the threshold of challenging new developments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you will contribute your special qualities to the advancement of the cause of god in europe as your national bahá’í community grows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and diversity of believers and in the strength of its institutions.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our fervent prayer in the holy Shrines that the Slovak bahá’í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munity, in close collaboration with the communities of the czech republic,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Austria, hungary, poland, romania, and the ukraine, will become a shin-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light in the heart of the european continent, shedding far and wide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illumination of the m essage of b 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269.3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62270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Deputization of Institute Teachers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Slovakia</dc:title>
  <dc:subject>Bahá'í Guidance (1998-05-23)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