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1998-07-22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sorrowful hearts we have to inform you of the execution in mash-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had, iran, of a bahá’í, mr. rú¥u’lláh raw¥ání, in the early morning of 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july 1998. we have been informed that mr. raw¥ání’s body was handed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to his relatives and was buried at 11:00 a.m. local time on the same day.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raw¥ání was fifty-two years old and was arrested on 20 September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1997, accused of converting a young woman from islám to the bahá’í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woman concerned denied that she had converted; she explained that her mother was a bahá’í and that she herself had been raised as a bahá’í. She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not arrested.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raw¥ání was kept incommunicado for the duration of his impris-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onment; his family was not permitted to communicate with him, and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 is available regarding his treatment in prison. There is no evi-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dence that mr. raw¥ání was accorded any legal process, and no sentence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announced. it appears certain that he was not allowed access to a lawyer.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night before his execution, someone from the iranian intelligence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telephoned a bahá’í in mashhad stating that mr. raw¥ání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to be executed the next day. initially, the friends did not believe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statement, as they had experienced previous incidents when false statements were made to the bahá’ís in an attempt to cause anguish. it was not until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were summoned to collect the body that they realized that the informa-tion had been correct.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recall that no bahá’í had been executed since march 1992,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government of iran has been indicating to the world that the situ-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 regarding the bahá’ís had changed. however, the execution of mr. 276.1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276.4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276.5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6raw¥ání causes grave concern that, whatever the official assertion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iranian government, the bahá’í community of iran remains unprotected,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officials in that country can persecute the bahá’ís at will and with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punity.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Details Regarding Rúḥu’lláh Rawḥání,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Martyr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(1998-07-22)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