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1998-07-28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may have seen the bbc Newsfile report that on 26 july 1998 radio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Tehran and iranian television quoted the president of the Tehran revo-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lutionary T ribunal, mr. g holam-h ossein rahbar-p our, as saying, “essen-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tially, none of the branches of the court has issued a death sentence for a person named ruhollah rowhani, affiliated to the bahá’í sect. The report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 execution is a total lie.” The report goes on to say, “None of iran’s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provincial revolutionary courts had issued such a sentence either, he added.” A similar release was made by Agence france presse. This statement by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leading representative of the iranian judiciary is very significant, in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conforms to the islamic revolutionary government’s normal practice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denying that the b ahá’ís are persecuted in i ran.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contrary to the statement of mr. rahbar-p our, the facts are as stated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our previous letters about the execution of mr. rú¥u’lláh raw¥ání, namely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he was arrested in m ashhad in September 1997 on the specious charge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having converted a young muslim, was held in solitary confinement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almost the whole of his detention, and was executed on 21 july 1998,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day after his family had been permitted to visit him for the first time since 277 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278.2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65october the previous year. The family was summoned to collect his body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required, despite their protests, to complete the burial within one hour,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 the supervision of the i ntelligence d epartment.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has since been established that the authorities gave the family no docu-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mentation about mr. raw¥ání—no court verdicts or death or burial certifi-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cates. his death certificate was seen, however, and on it was written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of death was suffocation. A security officer tore up this certificate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front of the family, and arranged for another doctor to write a new death certificate, giving the cause of death as internal disease.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was also informed a short time ago that the trial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four bahá’í prisoners in mashhad—mr. Sírús dhabí¥í-m uqaddam,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h idáyat-káshifí Najafábádí, mr. ‘A¬á’u’lláh þamíd Na¦írízádih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rú¥u’lláh raw¥ání—took place in the month of bahman ( january/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february) this year, and that they were all sentenced to death. The Su-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preme court in Tehran confirmed the death sentence only in the case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raw¥ání, and, for technical reasons, returned the cases of the other three to mashhad for a retrial, which took place on 29 April. The prisoners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were not permitted to hire their own lawyers, but their defense was pre-sented by one appointed by the court. The prisoners objected to some of the statements of the advocate on their behalf, and a heated argument between him and the prisoners took place in court. The prisoners were told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verdict of the court would take about three months to be issued.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families of the three prisoners were recently given permission to visit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every second T uesday. The date of the next scheduled visit is 28 july.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families are greatly concerned that what happened with mr. raw¥ání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happen with these prisoners—he was executed the day after the fam-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ily visit. The intelligence department brought the three prisoners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memorial service for mr. raw¥ání. This was a most unusual thing to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happened, and it is feared that it may also be an indication that they may expect the same fate.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secretariat278.3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278.4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278.5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66279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Visit by Representative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International Community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United Nations to the Pacific Islands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(1998-07-28)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