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1998-12-01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documents prepared by the lawyer who courageously agreed to conduct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appeal against the conviction of the three bahá’ís imprisoned in mashhad,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despite various threats and intense pressure to dissuade him. The lawyer, mr. mahmud kiani bahjestani, a muslim, submitted an appeal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Supreme court on behalf of mr. Sirus zabihi-m oghaddam, mr. hedayat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kashefi-Najafabadi and mr. Ataollah hamid-Nasirizadeh, the first two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whom have been sentenced to death, and the third to ten years’ impris-onment. mr. b ahjestani was not able to interview his clients, nor was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permitted to have copies of the material in the defendants’ files held by the court. he was, however, allowed to view those files and to make such notes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he wished. he did not appear before the Supreme court but submitted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appeal in writing.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first of the documents enclosed is a provisional translation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notes taken by mr. b ahjestani from his clients’ files held by the judiciary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mashhad. The second is a provisional translation of the appeal submission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are aware, bahá’í prisoners have rarely been allowed a lawyer dur-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their so-called trials. reference to page 3 of the enclosed extracts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defendants’ files (pages 38–40) and to section 4 on page 3 of the appeal 288.1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288.3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652submission makes it clear that, before the initial trial, branch 8 of the mash-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 court summarily imposed a lawyer of its own choosing, mr. ehtesham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Shahabi, on the accused, failing to observe the legal requirement to allow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ten days to arrange for their own lawyer. The last sentence of the extract from pages 118–120 of the accused’s files shows that when branch 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mashhad court came to retry the case, it having been referred back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Supreme court, the defendants were once more deprived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right to select their own advocate, as mr. Shahabi had again been appointed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represent them. in light of the foregoing, the international uproar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evident injustices in their case may well have been a significant factor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prisoners’ having for the first time been allowed to engage a lawyer, to make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appeal.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two enclosed documents confirm beyond any shadow of a doubt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total baselessness of the claim by the iranian government that mr. ruhol-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lah rohani was executed for crimes threatening the security of iran,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three prisoners arrested in mashhad with him at about the same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time, who have now appealed against their sentences, are guilty of any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crimes. in the absence of any merit in the government’s claims, its attri-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bution of crimes against the state to these prisoners appears to be merely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 attempt to silence the protests of civilized countries and to justify its inhuman treatment of its b ahá’í citizens.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first item in the lawyer’s extracts from his clients’ files is a copy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text of a document that the authorities asked the prisoners to sign, com-mitting themselves to desist from participation in bahá’í activities. had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prisoners complied with the authorities’ wishes by making this commit-ment, they would surely have been freed. you will note that there is nothing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commitment regarding activities by the accused against the security of the country.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spuriousness of the charge that the three defendants acted against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security becomes even clearer when one studies the text of the lawyer’s appeal submission to the Supreme court. unfortunately, however,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jurisdiction over the bahá’í community has been given to the ministry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information, which deals with security and intelligence matters and comes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 the direction of the religious leader of the islamic republic of iran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(Ayatollah khamenei). further, the appeal of the three accused is dealt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judiciary, which also falls under a fundamentalist ally of mr. khame-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nei, and this department has normally paid no attention to the appeals of bahá’ís in the past. consequently, it is not known whether the submission 288.4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288.5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288.6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65of the lawyer in the present case will be treated any differently. it is hoped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intensive pressure brought to bear on the iranian government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outside the country and the resolutions passed by such bodies as the euro-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pean u nion and the u nited Nations will make a difference.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Update on the Situation of the Bahá’ís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Imprisoned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(1998-12-01)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