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1998-12-14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message is to bring you up to date on the situation of the bahá’ís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iran. All those known to have been arrested in connection with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of higher education (bihe) have been released, with the excep-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following friends in isfahan, who were arrested in early october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are understood to be still detained: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z iaullah m irzapanah  mr. f arzad khajeh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Sina h akiman   mr. h abibullah f erdosian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authorities called upon many of those arrested in relation to the bihe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sign a statement committing themselves to cease serving in this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not to associate with it in the future. All refused to sign, since the opera-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institute contravenes no law of the country. one of the effects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widespread raids and arrests in iran was to bring about a rededication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many of the friends there to their commitment to provide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opportunities for the young bahá’ís who have been so callously denied access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higher education facilities in the country of their birth.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bihe has resumed its activities for the new academic year, although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functioning is still hampered by the loss of equipment, especially com-puters, which it suffered in the raids, equipment that has not been returned.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announcement by the friends in iran inviting the bahá’í students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resume their studies was made throughout the country at a recent Nineteen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 feast. There has been no reaction from the g overnment as yet.289.1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289.3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65in September 1996 we were informed that the final year of high school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been designated a pre-university year, and that bahá’í students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barred from attending it. This restriction brought with it a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disadvantages to those affected, such as limiting their access to many em-ployment opportunities and making it difficult for them to obtain a driving license. we are pleased to be able to report that this discrimination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youth appears to have come to an end very recently, and they are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to register for the pre-university year in the high schools. it remains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seen whether they will be awarded the certificate for successful comple-tion of the year. The friends in iran feel that international pressure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 of  iran is likely to have been instrumental in bringing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same time . . . the harassment and intimidation of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that country has in no way abated, and flurries of arrests continue to occur. often those arrested are released after a short time. Typical are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cases of three friends—mr. derakhshan fanaiyan, mrs. minu zamani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(fanaiyan) and mr. hossain mazlumi-Nosratabad—who were arrested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town of damavand on 17 o ctober; information has just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received that they have been released. . . . they are very much part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pattern of harassment. for example, five friends engaged in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children’s classes were recently arrested in the tribal area of boyer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Ahmadi-ye in western central iran; further arrests are reported to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taken place during the last two weeks of November in Tankabon and Sari, in the region north of Tehran, and four friends are believed to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detained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have received our email of 1 december enclosing the statement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lawyer who appealed on behalf of the convicted friends in mash-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had, mr. Sirus zabihi-m oghaddam, mr. h edayat kashefi-Najafabadi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Ataollah hamid-Nasirizadeh. Nothing further is known of their situ-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 as yet. it should also be remembered that four other bahá’ís remain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condemned to death in iran, two—mr. musa Talebi and mr. zabihullah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mahrami—for apostasy, and two—mr. kayvan khalajabadi and mr. beh-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 mithaqi—for bahá’í activities. They were condemned some years ago,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ultimate fate is still uncertain.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forts on behalf of these and all the bahá’ís in iran who steadfastly bear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sufferings out of loyalty to the b lessed b eauty.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secretariat289.4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289.6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289.7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655290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Resignation from the Continental Board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(1998-12-14)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