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1999-07-04</w:t>
      </w:r>
    </w:p>
    <w:p>
      <w:pPr>
        <w:spacing w:before="0" w:after="160" w:line="276" w:lineRule="auto"/>
        <w:jc w:val="both"/>
      </w:pPr>
      <w:r>
        <w:rPr>
          <w:rFonts w:ascii="Times New Roman" w:hAnsi="Times New Roman"/>
          <w:color w:val="000000"/>
          <w:sz w:val="22"/>
        </w:rPr>
        <w:t>translations to publication in books and pamphlets, provided that they are of adequate quality, without involving the delays which would be required to have them thoroughly reviewed, corrected and polished.</w:t>
      </w:r>
    </w:p>
    <w:p>
      <w:pPr>
        <w:spacing w:before="0" w:after="160" w:line="276" w:lineRule="auto"/>
        <w:jc w:val="both"/>
      </w:pPr>
      <w:r>
        <w:rPr>
          <w:rFonts w:ascii="Times New Roman" w:hAnsi="Times New Roman"/>
          <w:color w:val="000000"/>
          <w:sz w:val="22"/>
        </w:rPr>
        <w:t>305-2. See no. 302, pp. 674–76.305.2</w:t>
      </w:r>
    </w:p>
    <w:p>
      <w:pPr>
        <w:spacing w:before="280" w:after="120"/>
        <w:jc w:val="left"/>
      </w:pPr>
      <w:r>
        <w:rPr>
          <w:rFonts w:ascii="Times New Roman" w:hAnsi="Times New Roman"/>
          <w:b/>
          <w:color w:val="000000"/>
          <w:sz w:val="22"/>
        </w:rPr>
        <w:t>305.3</w:t>
      </w:r>
    </w:p>
    <w:p>
      <w:pPr>
        <w:spacing w:before="280" w:after="120"/>
        <w:jc w:val="left"/>
      </w:pPr>
      <w:r>
        <w:rPr>
          <w:rFonts w:ascii="Times New Roman" w:hAnsi="Times New Roman"/>
          <w:b/>
          <w:color w:val="000000"/>
          <w:sz w:val="22"/>
        </w:rPr>
        <w:t>305.4</w:t>
      </w:r>
    </w:p>
    <w:p>
      <w:pPr>
        <w:spacing w:before="280" w:after="120"/>
        <w:jc w:val="left"/>
      </w:pPr>
      <w:r>
        <w:rPr>
          <w:rFonts w:ascii="Times New Roman" w:hAnsi="Times New Roman"/>
          <w:b/>
          <w:color w:val="000000"/>
          <w:sz w:val="22"/>
        </w:rPr>
        <w:t>305.5</w:t>
      </w:r>
    </w:p>
    <w:p>
      <w:pPr>
        <w:spacing w:before="280" w:after="120"/>
        <w:jc w:val="left"/>
      </w:pPr>
      <w:r>
        <w:rPr>
          <w:rFonts w:ascii="Times New Roman" w:hAnsi="Times New Roman"/>
          <w:b/>
          <w:color w:val="000000"/>
          <w:sz w:val="22"/>
        </w:rPr>
        <w:t>305.6</w:t>
      </w:r>
    </w:p>
    <w:p>
      <w:pPr>
        <w:spacing w:before="280" w:after="120"/>
        <w:jc w:val="left"/>
      </w:pPr>
      <w:r>
        <w:rPr>
          <w:rFonts w:ascii="Times New Roman" w:hAnsi="Times New Roman"/>
          <w:b/>
          <w:color w:val="000000"/>
          <w:sz w:val="22"/>
        </w:rPr>
        <w:t>305.7</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6811. Tablets, or extracts therefrom, translated into english for use</w:t>
      </w:r>
    </w:p>
    <w:p>
      <w:pPr>
        <w:spacing w:before="0" w:after="160" w:line="276" w:lineRule="auto"/>
        <w:jc w:val="both"/>
      </w:pPr>
      <w:r>
        <w:rPr>
          <w:rFonts w:ascii="Times New Roman" w:hAnsi="Times New Roman"/>
          <w:color w:val="000000"/>
          <w:sz w:val="22"/>
        </w:rPr>
        <w:t>or publication by the bahá’í world center will continue to be</w:t>
      </w:r>
    </w:p>
    <w:p>
      <w:pPr>
        <w:spacing w:before="0" w:after="160" w:line="276" w:lineRule="auto"/>
        <w:jc w:val="both"/>
      </w:pPr>
      <w:r>
        <w:rPr>
          <w:rFonts w:ascii="Times New Roman" w:hAnsi="Times New Roman"/>
          <w:color w:val="000000"/>
          <w:sz w:val="22"/>
        </w:rPr>
        <w:t>reviewed by an ad hoc translation and review committee at the</w:t>
      </w:r>
    </w:p>
    <w:p>
      <w:pPr>
        <w:spacing w:before="0" w:after="160" w:line="276" w:lineRule="auto"/>
        <w:jc w:val="both"/>
      </w:pPr>
      <w:r>
        <w:rPr>
          <w:rFonts w:ascii="Times New Roman" w:hAnsi="Times New Roman"/>
          <w:color w:val="000000"/>
          <w:sz w:val="22"/>
        </w:rPr>
        <w:t>world center and designated as authorized translations.</w:t>
      </w:r>
    </w:p>
    <w:p>
      <w:pPr>
        <w:spacing w:before="0" w:after="160" w:line="276" w:lineRule="auto"/>
        <w:jc w:val="both"/>
      </w:pPr>
      <w:r>
        <w:rPr>
          <w:rFonts w:ascii="Times New Roman" w:hAnsi="Times New Roman"/>
          <w:color w:val="000000"/>
          <w:sz w:val="22"/>
        </w:rPr>
        <w:t>2. individual believers are free to translate into english any of the</w:t>
      </w:r>
    </w:p>
    <w:p>
      <w:pPr>
        <w:spacing w:before="0" w:after="160" w:line="276" w:lineRule="auto"/>
        <w:jc w:val="both"/>
      </w:pPr>
      <w:r>
        <w:rPr>
          <w:rFonts w:ascii="Times New Roman" w:hAnsi="Times New Roman"/>
          <w:color w:val="000000"/>
          <w:sz w:val="22"/>
        </w:rPr>
        <w:t>holy writings for their own use. Such translations may also</w:t>
      </w:r>
    </w:p>
    <w:p>
      <w:pPr>
        <w:spacing w:before="0" w:after="160" w:line="276" w:lineRule="auto"/>
        <w:jc w:val="both"/>
      </w:pPr>
      <w:r>
        <w:rPr>
          <w:rFonts w:ascii="Times New Roman" w:hAnsi="Times New Roman"/>
          <w:color w:val="000000"/>
          <w:sz w:val="22"/>
        </w:rPr>
        <w:t>be issued electronically, and may be published in circulars or journals without review by anyone other than the editors of the publications, but they must, in all cases, be clearly labeled as “provisional translations.”</w:t>
      </w:r>
    </w:p>
    <w:p>
      <w:pPr>
        <w:spacing w:before="0" w:after="160" w:line="276" w:lineRule="auto"/>
        <w:jc w:val="both"/>
      </w:pPr>
      <w:r>
        <w:rPr>
          <w:rFonts w:ascii="Times New Roman" w:hAnsi="Times New Roman"/>
          <w:color w:val="000000"/>
          <w:sz w:val="22"/>
        </w:rPr>
        <w:t>3. if such translations are to be included in books or pamphlets in-</w:t>
      </w:r>
    </w:p>
    <w:p>
      <w:pPr>
        <w:spacing w:before="0" w:after="160" w:line="276" w:lineRule="auto"/>
        <w:jc w:val="both"/>
      </w:pPr>
      <w:r>
        <w:rPr>
          <w:rFonts w:ascii="Times New Roman" w:hAnsi="Times New Roman"/>
          <w:color w:val="000000"/>
          <w:sz w:val="22"/>
        </w:rPr>
        <w:t>tended for publication by a bahá’í publisher, the T rust or private</w:t>
      </w:r>
    </w:p>
    <w:p>
      <w:pPr>
        <w:spacing w:before="0" w:after="160" w:line="276" w:lineRule="auto"/>
        <w:jc w:val="both"/>
      </w:pPr>
      <w:r>
        <w:rPr>
          <w:rFonts w:ascii="Times New Roman" w:hAnsi="Times New Roman"/>
          <w:color w:val="000000"/>
          <w:sz w:val="22"/>
        </w:rPr>
        <w:t>publisher involved should forward the manuscript to the bahá’í</w:t>
      </w:r>
    </w:p>
    <w:p>
      <w:pPr>
        <w:spacing w:before="0" w:after="160" w:line="276" w:lineRule="auto"/>
        <w:jc w:val="both"/>
      </w:pPr>
      <w:r>
        <w:rPr>
          <w:rFonts w:ascii="Times New Roman" w:hAnsi="Times New Roman"/>
          <w:color w:val="000000"/>
          <w:sz w:val="22"/>
        </w:rPr>
        <w:t>world center for clearance, together with copies of the Arabic or</w:t>
      </w:r>
    </w:p>
    <w:p>
      <w:pPr>
        <w:spacing w:before="0" w:after="160" w:line="276" w:lineRule="auto"/>
        <w:jc w:val="both"/>
      </w:pPr>
      <w:r>
        <w:rPr>
          <w:rFonts w:ascii="Times New Roman" w:hAnsi="Times New Roman"/>
          <w:color w:val="000000"/>
          <w:sz w:val="22"/>
        </w:rPr>
        <w:t>persian texts used in the translation. if the publisher is not a bahá’í</w:t>
      </w:r>
    </w:p>
    <w:p>
      <w:pPr>
        <w:spacing w:before="0" w:after="160" w:line="276" w:lineRule="auto"/>
        <w:jc w:val="both"/>
      </w:pPr>
      <w:r>
        <w:rPr>
          <w:rFonts w:ascii="Times New Roman" w:hAnsi="Times New Roman"/>
          <w:color w:val="000000"/>
          <w:sz w:val="22"/>
        </w:rPr>
        <w:t>agency, the authors or translators themselves should forward the manuscript and the Arabic or persian texts to the bahá’í world</w:t>
      </w:r>
    </w:p>
    <w:p>
      <w:pPr>
        <w:spacing w:before="0" w:after="160" w:line="276" w:lineRule="auto"/>
        <w:jc w:val="both"/>
      </w:pPr>
      <w:r>
        <w:rPr>
          <w:rFonts w:ascii="Times New Roman" w:hAnsi="Times New Roman"/>
          <w:color w:val="000000"/>
          <w:sz w:val="22"/>
        </w:rPr>
        <w:t>center for consideration prior to the involvement of any non-bahá’í publisher. if the translations are found to be of a quality</w:t>
      </w:r>
    </w:p>
    <w:p>
      <w:pPr>
        <w:spacing w:before="0" w:after="160" w:line="276" w:lineRule="auto"/>
        <w:jc w:val="both"/>
      </w:pPr>
      <w:r>
        <w:rPr>
          <w:rFonts w:ascii="Times New Roman" w:hAnsi="Times New Roman"/>
          <w:color w:val="000000"/>
          <w:sz w:val="22"/>
        </w:rPr>
        <w:t>adequate for publication, the manuscript will be returned to the sender with a note to this effect. Such translations should be identi-</w:t>
      </w:r>
    </w:p>
    <w:p>
      <w:pPr>
        <w:spacing w:before="0" w:after="160" w:line="276" w:lineRule="auto"/>
        <w:jc w:val="both"/>
      </w:pPr>
      <w:r>
        <w:rPr>
          <w:rFonts w:ascii="Times New Roman" w:hAnsi="Times New Roman"/>
          <w:color w:val="000000"/>
          <w:sz w:val="22"/>
        </w:rPr>
        <w:t>fied as “provisional translations.” if the translations are found not</w:t>
      </w:r>
    </w:p>
    <w:p>
      <w:pPr>
        <w:spacing w:before="0" w:after="160" w:line="276" w:lineRule="auto"/>
        <w:jc w:val="both"/>
      </w:pPr>
      <w:r>
        <w:rPr>
          <w:rFonts w:ascii="Times New Roman" w:hAnsi="Times New Roman"/>
          <w:color w:val="000000"/>
          <w:sz w:val="22"/>
        </w:rPr>
        <w:t>to be of acceptable quality, they will be returned to the translator</w:t>
      </w:r>
    </w:p>
    <w:p>
      <w:pPr>
        <w:spacing w:before="0" w:after="160" w:line="276" w:lineRule="auto"/>
        <w:jc w:val="both"/>
      </w:pPr>
      <w:r>
        <w:rPr>
          <w:rFonts w:ascii="Times New Roman" w:hAnsi="Times New Roman"/>
          <w:color w:val="000000"/>
          <w:sz w:val="22"/>
        </w:rPr>
        <w:t>for reworking. This procedure does not replace the normal review</w:t>
      </w:r>
    </w:p>
    <w:p>
      <w:pPr>
        <w:spacing w:before="0" w:after="160" w:line="276" w:lineRule="auto"/>
        <w:jc w:val="both"/>
      </w:pPr>
      <w:r>
        <w:rPr>
          <w:rFonts w:ascii="Times New Roman" w:hAnsi="Times New Roman"/>
          <w:color w:val="000000"/>
          <w:sz w:val="22"/>
        </w:rPr>
        <w:t>process for the book as a whole, which remains the responsibility</w:t>
      </w:r>
    </w:p>
    <w:p>
      <w:pPr>
        <w:spacing w:before="0" w:after="160" w:line="276" w:lineRule="auto"/>
        <w:jc w:val="both"/>
      </w:pPr>
      <w:r>
        <w:rPr>
          <w:rFonts w:ascii="Times New Roman" w:hAnsi="Times New Roman"/>
          <w:color w:val="000000"/>
          <w:sz w:val="22"/>
        </w:rPr>
        <w:t>of the National Spiritual Assembly within whose area of jurisdic-tion the book or pamphlet is to be published.</w:t>
      </w:r>
    </w:p>
    <w:p>
      <w:pPr>
        <w:spacing w:before="0" w:after="160" w:line="276" w:lineRule="auto"/>
        <w:jc w:val="both"/>
      </w:pPr>
      <w:r>
        <w:rPr>
          <w:rFonts w:ascii="Times New Roman" w:hAnsi="Times New Roman"/>
          <w:color w:val="000000"/>
          <w:sz w:val="22"/>
        </w:rPr>
        <w:t>Appendix iii</w:t>
      </w:r>
    </w:p>
    <w:p>
      <w:pPr>
        <w:spacing w:before="280" w:after="120"/>
        <w:jc w:val="left"/>
      </w:pPr>
      <w:r>
        <w:rPr>
          <w:rFonts w:ascii="Times New Roman" w:hAnsi="Times New Roman"/>
          <w:b/>
          <w:color w:val="000000"/>
          <w:sz w:val="22"/>
        </w:rPr>
        <w:t>POLICIES GOVERNING THE PUBLICATION AND TRANSLATION</w:t>
      </w:r>
    </w:p>
    <w:p>
      <w:pPr>
        <w:spacing w:before="280" w:after="120"/>
        <w:jc w:val="left"/>
      </w:pPr>
      <w:r>
        <w:rPr>
          <w:rFonts w:ascii="Times New Roman" w:hAnsi="Times New Roman"/>
          <w:b/>
          <w:color w:val="000000"/>
          <w:sz w:val="22"/>
        </w:rPr>
        <w:t>OF BAHÁ’Í HISTORICAL DOCUMENTS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principal purpose of these policies is to exte</dc:title>
  <dc:subject>Bahá'í Guidance (1999-07-04)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