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1999-07-04</w:t>
      </w:r>
    </w:p>
    <w:p>
      <w:pPr>
        <w:spacing w:before="0" w:after="160" w:line="276" w:lineRule="auto"/>
        <w:jc w:val="both"/>
      </w:pPr>
      <w:r>
        <w:rPr>
          <w:rFonts w:ascii="Times New Roman" w:hAnsi="Times New Roman"/>
          <w:color w:val="000000"/>
          <w:sz w:val="22"/>
        </w:rPr>
        <w:t>the publication of documents describing historical events of the bahá’í</w:t>
      </w:r>
    </w:p>
    <w:p>
      <w:pPr>
        <w:spacing w:before="0" w:after="160" w:line="276" w:lineRule="auto"/>
        <w:jc w:val="both"/>
      </w:pPr>
      <w:r>
        <w:rPr>
          <w:rFonts w:ascii="Times New Roman" w:hAnsi="Times New Roman"/>
          <w:color w:val="000000"/>
          <w:sz w:val="22"/>
        </w:rPr>
        <w:t>community and, where necessary, their translation into english and their</w:t>
      </w:r>
    </w:p>
    <w:p>
      <w:pPr>
        <w:spacing w:before="0" w:after="160" w:line="276" w:lineRule="auto"/>
        <w:jc w:val="both"/>
      </w:pPr>
      <w:r>
        <w:rPr>
          <w:rFonts w:ascii="Times New Roman" w:hAnsi="Times New Roman"/>
          <w:color w:val="000000"/>
          <w:sz w:val="22"/>
        </w:rPr>
        <w:t>publication in that language, the following policies have been formulated</w:t>
      </w:r>
    </w:p>
    <w:p>
      <w:pPr>
        <w:spacing w:before="0" w:after="160" w:line="276" w:lineRule="auto"/>
        <w:jc w:val="both"/>
      </w:pPr>
      <w:r>
        <w:rPr>
          <w:rFonts w:ascii="Times New Roman" w:hAnsi="Times New Roman"/>
          <w:color w:val="000000"/>
          <w:sz w:val="22"/>
        </w:rPr>
        <w:t>to accelerate and simplify the process of granting the necessary approval.305.8</w:t>
      </w:r>
    </w:p>
    <w:p>
      <w:pPr>
        <w:spacing w:before="280" w:after="120"/>
        <w:jc w:val="left"/>
      </w:pPr>
      <w:r>
        <w:rPr>
          <w:rFonts w:ascii="Times New Roman" w:hAnsi="Times New Roman"/>
          <w:b/>
          <w:color w:val="000000"/>
          <w:sz w:val="22"/>
        </w:rPr>
        <w:t>305.9</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682it should be noted that, in this context, a “historical document” indicates</w:t>
      </w:r>
    </w:p>
    <w:p>
      <w:pPr>
        <w:spacing w:before="0" w:after="160" w:line="276" w:lineRule="auto"/>
        <w:jc w:val="both"/>
      </w:pPr>
      <w:r>
        <w:rPr>
          <w:rFonts w:ascii="Times New Roman" w:hAnsi="Times New Roman"/>
          <w:color w:val="000000"/>
          <w:sz w:val="22"/>
        </w:rPr>
        <w:t>a document written some time ago either in the course of the events or as</w:t>
      </w:r>
    </w:p>
    <w:p>
      <w:pPr>
        <w:spacing w:before="0" w:after="160" w:line="276" w:lineRule="auto"/>
        <w:jc w:val="both"/>
      </w:pPr>
      <w:r>
        <w:rPr>
          <w:rFonts w:ascii="Times New Roman" w:hAnsi="Times New Roman"/>
          <w:color w:val="000000"/>
          <w:sz w:val="22"/>
        </w:rPr>
        <w:t>a memoir recording events. A historical account now being written by a</w:t>
      </w:r>
    </w:p>
    <w:p>
      <w:pPr>
        <w:spacing w:before="0" w:after="160" w:line="276" w:lineRule="auto"/>
        <w:jc w:val="both"/>
      </w:pPr>
      <w:r>
        <w:rPr>
          <w:rFonts w:ascii="Times New Roman" w:hAnsi="Times New Roman"/>
          <w:color w:val="000000"/>
          <w:sz w:val="22"/>
        </w:rPr>
        <w:t>bahá’í does not come under these policies but would follow the normal</w:t>
      </w:r>
    </w:p>
    <w:p>
      <w:pPr>
        <w:spacing w:before="0" w:after="160" w:line="276" w:lineRule="auto"/>
        <w:jc w:val="both"/>
      </w:pPr>
      <w:r>
        <w:rPr>
          <w:rFonts w:ascii="Times New Roman" w:hAnsi="Times New Roman"/>
          <w:color w:val="000000"/>
          <w:sz w:val="22"/>
        </w:rPr>
        <w:t>pre-publication review process.</w:t>
      </w:r>
    </w:p>
    <w:p>
      <w:pPr>
        <w:spacing w:before="0" w:after="160" w:line="276" w:lineRule="auto"/>
        <w:jc w:val="both"/>
      </w:pPr>
      <w:r>
        <w:rPr>
          <w:rFonts w:ascii="Times New Roman" w:hAnsi="Times New Roman"/>
          <w:color w:val="000000"/>
          <w:sz w:val="22"/>
        </w:rPr>
        <w:t>1. Historical documents in the sole possession of the Bahá’í World Center:</w:t>
      </w:r>
    </w:p>
    <w:p>
      <w:pPr>
        <w:spacing w:before="0" w:after="160" w:line="276" w:lineRule="auto"/>
        <w:jc w:val="both"/>
      </w:pPr>
      <w:r>
        <w:rPr>
          <w:rFonts w:ascii="Times New Roman" w:hAnsi="Times New Roman"/>
          <w:color w:val="000000"/>
          <w:sz w:val="22"/>
        </w:rPr>
        <w:t>planned process of the examination, cataloging and categorization of all historical documents held by the world center of the faith, to</w:t>
      </w:r>
    </w:p>
    <w:p>
      <w:pPr>
        <w:spacing w:before="0" w:after="160" w:line="276" w:lineRule="auto"/>
        <w:jc w:val="both"/>
      </w:pPr>
      <w:r>
        <w:rPr>
          <w:rFonts w:ascii="Times New Roman" w:hAnsi="Times New Roman"/>
          <w:color w:val="000000"/>
          <w:sz w:val="22"/>
        </w:rPr>
        <w:t>be followed, or possibly accompanied, by a program for the prepara-</w:t>
      </w:r>
    </w:p>
    <w:p>
      <w:pPr>
        <w:spacing w:before="0" w:after="160" w:line="276" w:lineRule="auto"/>
        <w:jc w:val="both"/>
      </w:pPr>
      <w:r>
        <w:rPr>
          <w:rFonts w:ascii="Times New Roman" w:hAnsi="Times New Roman"/>
          <w:color w:val="000000"/>
          <w:sz w:val="22"/>
        </w:rPr>
        <w:t>tion of such documents for publication, in facsimile, in the form of</w:t>
      </w:r>
    </w:p>
    <w:p>
      <w:pPr>
        <w:spacing w:before="0" w:after="160" w:line="276" w:lineRule="auto"/>
        <w:jc w:val="both"/>
      </w:pPr>
      <w:r>
        <w:rPr>
          <w:rFonts w:ascii="Times New Roman" w:hAnsi="Times New Roman"/>
          <w:color w:val="000000"/>
          <w:sz w:val="22"/>
        </w:rPr>
        <w:t>transcripts, and, where appropriate, accompanied by a translation into english.</w:t>
      </w:r>
    </w:p>
    <w:p>
      <w:pPr>
        <w:spacing w:before="0" w:after="160" w:line="276" w:lineRule="auto"/>
        <w:jc w:val="both"/>
      </w:pPr>
      <w:r>
        <w:rPr>
          <w:rFonts w:ascii="Times New Roman" w:hAnsi="Times New Roman"/>
          <w:color w:val="000000"/>
          <w:sz w:val="22"/>
        </w:rPr>
        <w:t>2. Historical documents which are in the hands of members of the Bahá’í community:</w:t>
      </w:r>
    </w:p>
    <w:p>
      <w:pPr>
        <w:spacing w:before="0" w:after="160" w:line="276" w:lineRule="auto"/>
        <w:jc w:val="both"/>
      </w:pPr>
      <w:r>
        <w:rPr>
          <w:rFonts w:ascii="Times New Roman" w:hAnsi="Times New Roman"/>
          <w:color w:val="000000"/>
          <w:sz w:val="22"/>
        </w:rPr>
        <w:t>it is noted that there are many historical documents which have already</w:t>
      </w:r>
    </w:p>
    <w:p>
      <w:pPr>
        <w:spacing w:before="0" w:after="160" w:line="276" w:lineRule="auto"/>
        <w:jc w:val="both"/>
      </w:pPr>
      <w:r>
        <w:rPr>
          <w:rFonts w:ascii="Times New Roman" w:hAnsi="Times New Roman"/>
          <w:color w:val="000000"/>
          <w:sz w:val="22"/>
        </w:rPr>
        <w:t>been published in the original language, as well as an undetermined number of memoirs and other manuscripts which are in the hands of individual bahá’ís and bahá’í families. of these the house of justice</w:t>
      </w:r>
    </w:p>
    <w:p>
      <w:pPr>
        <w:spacing w:before="0" w:after="160" w:line="276" w:lineRule="auto"/>
        <w:jc w:val="both"/>
      </w:pPr>
      <w:r>
        <w:rPr>
          <w:rFonts w:ascii="Times New Roman" w:hAnsi="Times New Roman"/>
          <w:color w:val="000000"/>
          <w:sz w:val="22"/>
        </w:rPr>
        <w:t>has concern only over those documents which relate to the history of the faith in iran, the Arab countries, the holy land or other sensitive</w:t>
      </w:r>
    </w:p>
    <w:p>
      <w:pPr>
        <w:spacing w:before="0" w:after="160" w:line="276" w:lineRule="auto"/>
        <w:jc w:val="both"/>
      </w:pPr>
      <w:r>
        <w:rPr>
          <w:rFonts w:ascii="Times New Roman" w:hAnsi="Times New Roman"/>
          <w:color w:val="000000"/>
          <w:sz w:val="22"/>
        </w:rPr>
        <w:t>areas. in relation to these it has established the policies listed below.</w:t>
      </w:r>
    </w:p>
    <w:p>
      <w:pPr>
        <w:spacing w:before="0" w:after="160" w:line="276" w:lineRule="auto"/>
        <w:jc w:val="both"/>
      </w:pPr>
      <w:r>
        <w:rPr>
          <w:rFonts w:ascii="Times New Roman" w:hAnsi="Times New Roman"/>
          <w:color w:val="000000"/>
          <w:sz w:val="22"/>
        </w:rPr>
        <w:t>The publication and translation of all other historical documents is</w:t>
      </w:r>
    </w:p>
    <w:p>
      <w:pPr>
        <w:spacing w:before="0" w:after="160" w:line="276" w:lineRule="auto"/>
        <w:jc w:val="both"/>
      </w:pPr>
      <w:r>
        <w:rPr>
          <w:rFonts w:ascii="Times New Roman" w:hAnsi="Times New Roman"/>
          <w:color w:val="000000"/>
          <w:sz w:val="22"/>
        </w:rPr>
        <w:t>adequately covered by the normal process of review.</w:t>
      </w:r>
    </w:p>
    <w:p>
      <w:pPr>
        <w:spacing w:before="280" w:after="120"/>
        <w:jc w:val="left"/>
      </w:pPr>
      <w:r>
        <w:rPr>
          <w:rFonts w:ascii="Times New Roman" w:hAnsi="Times New Roman"/>
          <w:b/>
          <w:color w:val="000000"/>
          <w:sz w:val="22"/>
        </w:rPr>
        <w:t>2.1 i n countries such as those instanced above, serious danger to</w:t>
      </w:r>
    </w:p>
    <w:p>
      <w:pPr>
        <w:spacing w:before="0" w:after="160" w:line="276" w:lineRule="auto"/>
        <w:jc w:val="both"/>
      </w:pPr>
      <w:r>
        <w:rPr>
          <w:rFonts w:ascii="Times New Roman" w:hAnsi="Times New Roman"/>
          <w:color w:val="000000"/>
          <w:sz w:val="22"/>
        </w:rPr>
        <w:t>the bahá’í communities could be precipitated by the untimely</w:t>
      </w:r>
    </w:p>
    <w:p>
      <w:pPr>
        <w:spacing w:before="0" w:after="160" w:line="276" w:lineRule="auto"/>
        <w:jc w:val="both"/>
      </w:pPr>
      <w:r>
        <w:rPr>
          <w:rFonts w:ascii="Times New Roman" w:hAnsi="Times New Roman"/>
          <w:color w:val="000000"/>
          <w:sz w:val="22"/>
        </w:rPr>
        <w:t>publication (with or without translation) of historical docu-</w:t>
      </w:r>
    </w:p>
    <w:p>
      <w:pPr>
        <w:spacing w:before="0" w:after="160" w:line="276" w:lineRule="auto"/>
        <w:jc w:val="both"/>
      </w:pPr>
      <w:r>
        <w:rPr>
          <w:rFonts w:ascii="Times New Roman" w:hAnsi="Times New Roman"/>
          <w:color w:val="000000"/>
          <w:sz w:val="22"/>
        </w:rPr>
        <w:t>ments relating to events there. Therefore, every proposal to publish or translate a document relating to the history of the</w:t>
      </w:r>
    </w:p>
    <w:p>
      <w:pPr>
        <w:spacing w:before="0" w:after="160" w:line="276" w:lineRule="auto"/>
        <w:jc w:val="both"/>
      </w:pPr>
      <w:r>
        <w:rPr>
          <w:rFonts w:ascii="Times New Roman" w:hAnsi="Times New Roman"/>
          <w:color w:val="000000"/>
          <w:sz w:val="22"/>
        </w:rPr>
        <w:t>faith in the middle east must be referred to the universal</w:t>
      </w:r>
    </w:p>
    <w:p>
      <w:pPr>
        <w:spacing w:before="0" w:after="160" w:line="276" w:lineRule="auto"/>
        <w:jc w:val="both"/>
      </w:pPr>
      <w:r>
        <w:rPr>
          <w:rFonts w:ascii="Times New Roman" w:hAnsi="Times New Roman"/>
          <w:color w:val="000000"/>
          <w:sz w:val="22"/>
        </w:rPr>
        <w:t>house of j ustice for its approval.305.10</w:t>
      </w:r>
    </w:p>
    <w:p>
      <w:pPr>
        <w:spacing w:before="280" w:after="120"/>
        <w:jc w:val="left"/>
      </w:pPr>
      <w:r>
        <w:rPr>
          <w:rFonts w:ascii="Times New Roman" w:hAnsi="Times New Roman"/>
          <w:b/>
          <w:color w:val="000000"/>
          <w:sz w:val="22"/>
        </w:rPr>
        <w:t>305.11</w:t>
      </w:r>
    </w:p>
    <w:p>
      <w:pPr>
        <w:spacing w:before="280" w:after="120"/>
        <w:jc w:val="left"/>
      </w:pPr>
      <w:r>
        <w:rPr>
          <w:rFonts w:ascii="Times New Roman" w:hAnsi="Times New Roman"/>
          <w:b/>
          <w:color w:val="000000"/>
          <w:sz w:val="22"/>
        </w:rPr>
        <w:t>305.12</w:t>
      </w:r>
    </w:p>
    <w:p>
      <w:pPr>
        <w:spacing w:before="280" w:after="120"/>
        <w:jc w:val="left"/>
      </w:pPr>
      <w:r>
        <w:rPr>
          <w:rFonts w:ascii="Times New Roman" w:hAnsi="Times New Roman"/>
          <w:b/>
          <w:color w:val="000000"/>
          <w:sz w:val="22"/>
        </w:rPr>
        <w:t>305.13</w:t>
      </w:r>
    </w:p>
    <w:p>
      <w:pPr>
        <w:spacing w:before="0" w:after="160" w:line="276" w:lineRule="auto"/>
        <w:jc w:val="both"/>
      </w:pPr>
      <w:r>
        <w:rPr>
          <w:rFonts w:ascii="Times New Roman" w:hAnsi="Times New Roman"/>
          <w:color w:val="000000"/>
          <w:sz w:val="22"/>
        </w:rPr>
        <w:t>1996–2000  •  T h e  f o u r  Ye a r  Pl a n</w:t>
      </w:r>
    </w:p>
    <w:p>
      <w:pPr>
        <w:spacing w:before="0" w:after="160" w:line="276" w:lineRule="auto"/>
        <w:jc w:val="both"/>
      </w:pPr>
      <w:r>
        <w:rPr>
          <w:rFonts w:ascii="Times New Roman" w:hAnsi="Times New Roman"/>
          <w:color w:val="000000"/>
          <w:sz w:val="22"/>
        </w:rPr>
        <w:t>682.2 A bahá’í who has a copy of a historical document and con-</w:t>
      </w:r>
    </w:p>
    <w:p>
      <w:pPr>
        <w:spacing w:before="0" w:after="160" w:line="276" w:lineRule="auto"/>
        <w:jc w:val="both"/>
      </w:pPr>
      <w:r>
        <w:rPr>
          <w:rFonts w:ascii="Times New Roman" w:hAnsi="Times New Roman"/>
          <w:color w:val="000000"/>
          <w:sz w:val="22"/>
        </w:rPr>
        <w:t>siders publishing it, should, out of courtesy, consult the im-</w:t>
      </w:r>
    </w:p>
    <w:p>
      <w:pPr>
        <w:spacing w:before="0" w:after="160" w:line="276" w:lineRule="auto"/>
        <w:jc w:val="both"/>
      </w:pPr>
      <w:r>
        <w:rPr>
          <w:rFonts w:ascii="Times New Roman" w:hAnsi="Times New Roman"/>
          <w:color w:val="000000"/>
          <w:sz w:val="22"/>
        </w:rPr>
        <w:t>mediate family of the writer, seeking their agreement to the</w:t>
      </w:r>
    </w:p>
    <w:p>
      <w:pPr>
        <w:spacing w:before="0" w:after="160" w:line="276" w:lineRule="auto"/>
        <w:jc w:val="both"/>
      </w:pPr>
      <w:r>
        <w:rPr>
          <w:rFonts w:ascii="Times New Roman" w:hAnsi="Times New Roman"/>
          <w:color w:val="000000"/>
          <w:sz w:val="22"/>
        </w:rPr>
        <w:t>publication, before proceeding.</w:t>
      </w:r>
    </w:p>
    <w:p>
      <w:pPr>
        <w:spacing w:before="280" w:after="120"/>
        <w:jc w:val="left"/>
      </w:pPr>
      <w:r>
        <w:rPr>
          <w:rFonts w:ascii="Times New Roman" w:hAnsi="Times New Roman"/>
          <w:b/>
          <w:color w:val="000000"/>
          <w:sz w:val="22"/>
        </w:rPr>
        <w:t>2.3 when the house of justice has approved the publication,</w:t>
      </w:r>
    </w:p>
    <w:p>
      <w:pPr>
        <w:spacing w:before="0" w:after="160" w:line="276" w:lineRule="auto"/>
        <w:jc w:val="both"/>
      </w:pPr>
      <w:r>
        <w:rPr>
          <w:rFonts w:ascii="Times New Roman" w:hAnsi="Times New Roman"/>
          <w:color w:val="000000"/>
          <w:sz w:val="22"/>
        </w:rPr>
        <w:t>and/or translation, of a historical document, it should be</w:t>
      </w:r>
    </w:p>
    <w:p>
      <w:pPr>
        <w:spacing w:before="0" w:after="160" w:line="276" w:lineRule="auto"/>
        <w:jc w:val="both"/>
      </w:pPr>
      <w:r>
        <w:rPr>
          <w:rFonts w:ascii="Times New Roman" w:hAnsi="Times New Roman"/>
          <w:color w:val="000000"/>
          <w:sz w:val="22"/>
        </w:rPr>
        <w:t>published in full, without deletions, to preserve the integrity</w:t>
      </w:r>
    </w:p>
    <w:p>
      <w:pPr>
        <w:spacing w:before="0" w:after="160" w:line="276" w:lineRule="auto"/>
        <w:jc w:val="both"/>
      </w:pPr>
      <w:r>
        <w:rPr>
          <w:rFonts w:ascii="Times New Roman" w:hAnsi="Times New Roman"/>
          <w:color w:val="000000"/>
          <w:sz w:val="22"/>
        </w:rPr>
        <w:t>of the document as an entity. if it is decided to publish only</w:t>
      </w:r>
    </w:p>
    <w:p>
      <w:pPr>
        <w:spacing w:before="0" w:after="160" w:line="276" w:lineRule="auto"/>
        <w:jc w:val="both"/>
      </w:pPr>
      <w:r>
        <w:rPr>
          <w:rFonts w:ascii="Times New Roman" w:hAnsi="Times New Roman"/>
          <w:color w:val="000000"/>
          <w:sz w:val="22"/>
        </w:rPr>
        <w:t>the most interesting and publishable portions of a document, the publication should be clearly designated as an abridged</w:t>
      </w:r>
    </w:p>
    <w:p>
      <w:pPr>
        <w:spacing w:before="0" w:after="160" w:line="276" w:lineRule="auto"/>
        <w:jc w:val="both"/>
      </w:pPr>
      <w:r>
        <w:rPr>
          <w:rFonts w:ascii="Times New Roman" w:hAnsi="Times New Roman"/>
          <w:color w:val="000000"/>
          <w:sz w:val="22"/>
        </w:rPr>
        <w:t>version of the work in question or as extracts from it.</w:t>
      </w:r>
    </w:p>
    <w:p>
      <w:pPr>
        <w:spacing w:before="280" w:after="120"/>
        <w:jc w:val="left"/>
      </w:pPr>
      <w:r>
        <w:rPr>
          <w:rFonts w:ascii="Times New Roman" w:hAnsi="Times New Roman"/>
          <w:b/>
          <w:color w:val="000000"/>
          <w:sz w:val="22"/>
        </w:rPr>
        <w:t>2.4 i n most, if not all, cases of the publication of a historical</w:t>
      </w:r>
    </w:p>
    <w:p>
      <w:pPr>
        <w:spacing w:before="0" w:after="160" w:line="276" w:lineRule="auto"/>
        <w:jc w:val="both"/>
      </w:pPr>
      <w:r>
        <w:rPr>
          <w:rFonts w:ascii="Times New Roman" w:hAnsi="Times New Roman"/>
          <w:color w:val="000000"/>
          <w:sz w:val="22"/>
        </w:rPr>
        <w:t>document, it will be desirable for an introduction, footnotes and possibly appendices to be added. At the present time,</w:t>
      </w:r>
    </w:p>
    <w:p>
      <w:pPr>
        <w:spacing w:before="0" w:after="160" w:line="276" w:lineRule="auto"/>
        <w:jc w:val="both"/>
      </w:pPr>
      <w:r>
        <w:rPr>
          <w:rFonts w:ascii="Times New Roman" w:hAnsi="Times New Roman"/>
          <w:color w:val="000000"/>
          <w:sz w:val="22"/>
        </w:rPr>
        <w:t>such additions should be kept to a minimum and should not constitute a mass of supplementary material disproportionate to the document itself.</w:t>
      </w:r>
    </w:p>
    <w:p>
      <w:pPr>
        <w:spacing w:before="280" w:after="120"/>
        <w:jc w:val="left"/>
      </w:pPr>
      <w:r>
        <w:rPr>
          <w:rFonts w:ascii="Times New Roman" w:hAnsi="Times New Roman"/>
          <w:b/>
          <w:color w:val="000000"/>
          <w:sz w:val="22"/>
        </w:rPr>
        <w:t>2.5 i t would be inappropriate for the translation of a Tablet to</w:t>
      </w:r>
    </w:p>
    <w:p>
      <w:pPr>
        <w:spacing w:before="0" w:after="160" w:line="276" w:lineRule="auto"/>
        <w:jc w:val="both"/>
      </w:pPr>
      <w:r>
        <w:rPr>
          <w:rFonts w:ascii="Times New Roman" w:hAnsi="Times New Roman"/>
          <w:color w:val="000000"/>
          <w:sz w:val="22"/>
        </w:rPr>
        <w:t>appear for the first time as a footnote or appendix to such a document.</w:t>
      </w:r>
    </w:p>
    <w:p>
      <w:pPr>
        <w:spacing w:before="280" w:after="120"/>
        <w:jc w:val="left"/>
      </w:pPr>
      <w:r>
        <w:rPr>
          <w:rFonts w:ascii="Times New Roman" w:hAnsi="Times New Roman"/>
          <w:b/>
          <w:color w:val="000000"/>
          <w:sz w:val="22"/>
        </w:rPr>
        <w:t>2.6 The publication of the original of a historical document, with</w:t>
      </w:r>
    </w:p>
    <w:p>
      <w:pPr>
        <w:spacing w:before="0" w:after="160" w:line="276" w:lineRule="auto"/>
        <w:jc w:val="both"/>
      </w:pPr>
      <w:r>
        <w:rPr>
          <w:rFonts w:ascii="Times New Roman" w:hAnsi="Times New Roman"/>
          <w:color w:val="000000"/>
          <w:sz w:val="22"/>
        </w:rPr>
        <w:t>or without a translation, after being approved in principle by</w:t>
      </w:r>
    </w:p>
    <w:p>
      <w:pPr>
        <w:spacing w:before="0" w:after="160" w:line="276" w:lineRule="auto"/>
        <w:jc w:val="both"/>
      </w:pPr>
      <w:r>
        <w:rPr>
          <w:rFonts w:ascii="Times New Roman" w:hAnsi="Times New Roman"/>
          <w:color w:val="000000"/>
          <w:sz w:val="22"/>
        </w:rPr>
        <w:t>review. bearing in mind that the basic purpose of review is to</w:t>
      </w:r>
    </w:p>
    <w:p>
      <w:pPr>
        <w:spacing w:before="0" w:after="160" w:line="276" w:lineRule="auto"/>
        <w:jc w:val="both"/>
      </w:pPr>
      <w:r>
        <w:rPr>
          <w:rFonts w:ascii="Times New Roman" w:hAnsi="Times New Roman"/>
          <w:color w:val="000000"/>
          <w:sz w:val="22"/>
        </w:rPr>
        <w:t>ensure that a publication gives an accurate impression of the faith, the reviewers will have to give attention to the follow-</w:t>
      </w:r>
    </w:p>
    <w:p>
      <w:pPr>
        <w:spacing w:before="0" w:after="160" w:line="276" w:lineRule="auto"/>
        <w:jc w:val="both"/>
      </w:pPr>
      <w:r>
        <w:rPr>
          <w:rFonts w:ascii="Times New Roman" w:hAnsi="Times New Roman"/>
          <w:color w:val="000000"/>
          <w:sz w:val="22"/>
        </w:rPr>
        <w:t>ing points:</w:t>
      </w:r>
    </w:p>
    <w:p>
      <w:pPr>
        <w:spacing w:before="280" w:after="120"/>
        <w:jc w:val="left"/>
      </w:pPr>
      <w:r>
        <w:rPr>
          <w:rFonts w:ascii="Times New Roman" w:hAnsi="Times New Roman"/>
          <w:b/>
          <w:color w:val="000000"/>
          <w:sz w:val="22"/>
        </w:rPr>
        <w:t>2.6.1 The accuracy of the introduction and footnotes</w:t>
      </w:r>
    </w:p>
    <w:p>
      <w:pPr>
        <w:spacing w:before="0" w:after="160" w:line="276" w:lineRule="auto"/>
        <w:jc w:val="both"/>
      </w:pPr>
      <w:r>
        <w:rPr>
          <w:rFonts w:ascii="Times New Roman" w:hAnsi="Times New Roman"/>
          <w:color w:val="000000"/>
          <w:sz w:val="22"/>
        </w:rPr>
        <w:t>and any other material added to the document</w:t>
      </w:r>
    </w:p>
    <w:p>
      <w:pPr>
        <w:spacing w:before="0" w:after="160" w:line="276" w:lineRule="auto"/>
        <w:jc w:val="both"/>
      </w:pPr>
      <w:r>
        <w:rPr>
          <w:rFonts w:ascii="Times New Roman" w:hAnsi="Times New Roman"/>
          <w:color w:val="000000"/>
          <w:sz w:val="22"/>
        </w:rPr>
        <w:t>itself.</w:t>
      </w:r>
    </w:p>
    <w:p>
      <w:pPr>
        <w:spacing w:before="0" w:after="160" w:line="276" w:lineRule="auto"/>
        <w:jc w:val="both"/>
      </w:pPr>
      <w:r>
        <w:rPr>
          <w:rFonts w:ascii="Times New Roman" w:hAnsi="Times New Roman"/>
          <w:color w:val="000000"/>
          <w:sz w:val="22"/>
        </w:rPr>
        <w:t>2.6.2 The need for additional footnotes to clarify points of which the document itself may give a mislead-</w:t>
      </w:r>
    </w:p>
    <w:p>
      <w:pPr>
        <w:spacing w:before="0" w:after="160" w:line="276" w:lineRule="auto"/>
        <w:jc w:val="both"/>
      </w:pPr>
      <w:r>
        <w:rPr>
          <w:rFonts w:ascii="Times New Roman" w:hAnsi="Times New Roman"/>
          <w:color w:val="000000"/>
          <w:sz w:val="22"/>
        </w:rPr>
        <w:t>ing or inadequate impression.</w:t>
      </w:r>
    </w:p>
    <w:p>
      <w:pPr>
        <w:spacing w:before="280" w:after="120"/>
        <w:jc w:val="left"/>
      </w:pPr>
      <w:r>
        <w:rPr>
          <w:rFonts w:ascii="Times New Roman" w:hAnsi="Times New Roman"/>
          <w:b/>
          <w:color w:val="000000"/>
          <w:sz w:val="22"/>
        </w:rPr>
        <w:t>2.6.3 The advisability of deleting superfluous footnotes</w:t>
      </w:r>
    </w:p>
    <w:p>
      <w:pPr>
        <w:spacing w:before="0" w:after="160" w:line="276" w:lineRule="auto"/>
        <w:jc w:val="both"/>
      </w:pPr>
      <w:r>
        <w:rPr>
          <w:rFonts w:ascii="Times New Roman" w:hAnsi="Times New Roman"/>
          <w:color w:val="000000"/>
          <w:sz w:val="22"/>
        </w:rPr>
        <w:t>or other supplementary material.</w:t>
      </w:r>
    </w:p>
    <w:p>
      <w:pPr>
        <w:spacing w:before="0" w:after="160" w:line="276" w:lineRule="auto"/>
        <w:jc w:val="both"/>
      </w:pPr>
      <w:r>
        <w:rPr>
          <w:rFonts w:ascii="Times New Roman" w:hAnsi="Times New Roman"/>
          <w:color w:val="000000"/>
          <w:sz w:val="22"/>
        </w:rPr>
        <w:t>2.6.4 The quality of the translation. The reviewing committee cannot be expected to check the accu-305.14</w:t>
      </w:r>
    </w:p>
    <w:p>
      <w:pPr>
        <w:spacing w:before="280" w:after="120"/>
        <w:jc w:val="left"/>
      </w:pPr>
      <w:r>
        <w:rPr>
          <w:rFonts w:ascii="Times New Roman" w:hAnsi="Times New Roman"/>
          <w:b/>
          <w:color w:val="000000"/>
          <w:sz w:val="22"/>
        </w:rPr>
        <w:t>305.15</w:t>
      </w:r>
    </w:p>
    <w:p>
      <w:pPr>
        <w:spacing w:before="280" w:after="120"/>
        <w:jc w:val="left"/>
      </w:pPr>
      <w:r>
        <w:rPr>
          <w:rFonts w:ascii="Times New Roman" w:hAnsi="Times New Roman"/>
          <w:b/>
          <w:color w:val="000000"/>
          <w:sz w:val="22"/>
        </w:rPr>
        <w:t>305.16</w:t>
      </w:r>
    </w:p>
    <w:p>
      <w:pPr>
        <w:spacing w:before="280" w:after="120"/>
        <w:jc w:val="left"/>
      </w:pPr>
      <w:r>
        <w:rPr>
          <w:rFonts w:ascii="Times New Roman" w:hAnsi="Times New Roman"/>
          <w:b/>
          <w:color w:val="000000"/>
          <w:sz w:val="22"/>
        </w:rPr>
        <w:t>305.17</w:t>
      </w:r>
    </w:p>
    <w:p>
      <w:pPr>
        <w:spacing w:before="280" w:after="120"/>
        <w:jc w:val="left"/>
      </w:pPr>
      <w:r>
        <w:rPr>
          <w:rFonts w:ascii="Times New Roman" w:hAnsi="Times New Roman"/>
          <w:b/>
          <w:color w:val="000000"/>
          <w:sz w:val="22"/>
        </w:rPr>
        <w:t>305.18</w:t>
      </w:r>
    </w:p>
    <w:p>
      <w:pPr>
        <w:spacing w:before="280" w:after="120"/>
        <w:jc w:val="left"/>
      </w:pPr>
      <w:r>
        <w:rPr>
          <w:rFonts w:ascii="Times New Roman" w:hAnsi="Times New Roman"/>
          <w:b/>
          <w:color w:val="000000"/>
          <w:sz w:val="22"/>
        </w:rPr>
        <w:t>305.18a</w:t>
      </w:r>
    </w:p>
    <w:p>
      <w:pPr>
        <w:spacing w:before="280" w:after="120"/>
        <w:jc w:val="left"/>
      </w:pPr>
      <w:r>
        <w:rPr>
          <w:rFonts w:ascii="Times New Roman" w:hAnsi="Times New Roman"/>
          <w:b/>
          <w:color w:val="000000"/>
          <w:sz w:val="22"/>
        </w:rPr>
        <w:t>305.18b</w:t>
      </w:r>
    </w:p>
    <w:p>
      <w:pPr>
        <w:spacing w:before="280" w:after="120"/>
        <w:jc w:val="left"/>
      </w:pPr>
      <w:r>
        <w:rPr>
          <w:rFonts w:ascii="Times New Roman" w:hAnsi="Times New Roman"/>
          <w:b/>
          <w:color w:val="000000"/>
          <w:sz w:val="22"/>
        </w:rPr>
        <w:t>305.18c</w:t>
      </w:r>
    </w:p>
    <w:p>
      <w:pPr>
        <w:spacing w:before="280" w:after="120"/>
        <w:jc w:val="left"/>
      </w:pPr>
      <w:r>
        <w:rPr>
          <w:rFonts w:ascii="Times New Roman" w:hAnsi="Times New Roman"/>
          <w:b/>
          <w:color w:val="000000"/>
          <w:sz w:val="22"/>
        </w:rPr>
        <w:t>305.18d</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68racy of the translation, but it should give attention</w:t>
      </w:r>
    </w:p>
    <w:p>
      <w:pPr>
        <w:spacing w:before="0" w:after="160" w:line="276" w:lineRule="auto"/>
        <w:jc w:val="both"/>
      </w:pPr>
      <w:r>
        <w:rPr>
          <w:rFonts w:ascii="Times New Roman" w:hAnsi="Times New Roman"/>
          <w:color w:val="000000"/>
          <w:sz w:val="22"/>
        </w:rPr>
        <w:t>to the quality of expression and the meaning it</w:t>
      </w:r>
    </w:p>
    <w:p>
      <w:pPr>
        <w:spacing w:before="0" w:after="160" w:line="276" w:lineRule="auto"/>
        <w:jc w:val="both"/>
      </w:pPr>
      <w:r>
        <w:rPr>
          <w:rFonts w:ascii="Times New Roman" w:hAnsi="Times New Roman"/>
          <w:color w:val="000000"/>
          <w:sz w:val="22"/>
        </w:rPr>
        <w:t>conveys, and raise questions or make suggestions</w:t>
      </w:r>
    </w:p>
    <w:p>
      <w:pPr>
        <w:spacing w:before="0" w:after="160" w:line="276" w:lineRule="auto"/>
        <w:jc w:val="both"/>
      </w:pPr>
      <w:r>
        <w:rPr>
          <w:rFonts w:ascii="Times New Roman" w:hAnsi="Times New Roman"/>
          <w:color w:val="000000"/>
          <w:sz w:val="22"/>
        </w:rPr>
        <w:t>where necessary. if the number of such points</w:t>
      </w:r>
    </w:p>
    <w:p>
      <w:pPr>
        <w:spacing w:before="0" w:after="160" w:line="276" w:lineRule="auto"/>
        <w:jc w:val="both"/>
      </w:pPr>
      <w:r>
        <w:rPr>
          <w:rFonts w:ascii="Times New Roman" w:hAnsi="Times New Roman"/>
          <w:color w:val="000000"/>
          <w:sz w:val="22"/>
        </w:rPr>
        <w:t>would be large, the whole translation should be referred back to the translator for reworking.</w:t>
      </w:r>
    </w:p>
    <w:p>
      <w:pPr>
        <w:spacing w:before="0" w:after="160" w:line="276" w:lineRule="auto"/>
        <w:jc w:val="both"/>
      </w:pPr>
      <w:r>
        <w:rPr>
          <w:rFonts w:ascii="Times New Roman" w:hAnsi="Times New Roman"/>
          <w:color w:val="000000"/>
          <w:sz w:val="22"/>
        </w:rPr>
        <w:t>306</w:t>
      </w:r>
    </w:p>
    <w:p>
      <w:pPr>
        <w:spacing w:before="0" w:after="160" w:line="276" w:lineRule="auto"/>
        <w:jc w:val="both"/>
      </w:pPr>
      <w:r>
        <w:rPr>
          <w:rFonts w:ascii="Times New Roman" w:hAnsi="Times New Roman"/>
          <w:color w:val="000000"/>
          <w:sz w:val="22"/>
        </w:rPr>
        <w:t>Publication of Bahá’í Sacred Texts with a Study Guide</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view of the increasing interest being shown by</dc:title>
  <dc:subject>Bahá'í Guidance (1999-07-04)</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