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1999-11-09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work of the bahá’í world center steadily increases,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justice, in order to concentrate on matters requiring its direct 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tention, has progressively referred to various departments subjects that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handled in other ways.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been asked to inform you of a new development in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respect. As you may know, in addition to the ongoing responsibil-ity exercised by the Secretariat of the house of justice, the office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correspondence has been responding to a small percentage of relatively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routine requests and inquiries made to the world center. Arrangements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now been made for that office to handle a broader range of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correspondence, over its own signature, following policies laid down for this purpose. The house of justice trusts that these new arrangements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further improve communication between the world center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communications to the bahá’í world center should continue to be 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dressed as indicated in the International Bahá’í Directory.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and Five Year Plans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(1999-11-09)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