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1999-12-12</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lic interreligious gathering organized by the roman catholic church in New delhi in the presence of pope john paul ii during his recent visit to india. designated representatives of the different religions were invited to briefly address the gathering, and mrs. zena Sorabjee spoke on behalf of the bahá’ís. Such was the importance of this event as a further step in the rec- ognition of the faith as a major religion in india that the universal house of justice wished to share with you copies of mrs. Sorabjee’s address and a description of the occasion based on reports received from the National Spiritual Assembly of i ndia and mrs. Sorabjee.</w:t>
      </w:r>
    </w:p>
    <w:p>
      <w:pPr>
        <w:spacing w:before="0" w:after="160" w:line="276" w:lineRule="auto"/>
        <w:jc w:val="both"/>
      </w:pPr>
      <w:r>
        <w:rPr>
          <w:rFonts w:ascii="Times New Roman" w:hAnsi="Times New Roman"/>
          <w:color w:val="000000"/>
          <w:sz w:val="22"/>
        </w:rPr>
        <w:t>Department  of tHe secretariat 315 Application of the Laws of the Kitáb-i-Aqdas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(1999-12-12)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