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2000-02-11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news that death sentences have been reaffirmed for two members of the bahá’í community there and a further death sentence has been passed on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third believer.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will recall that our letter dated 14 November 1997 informed you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three friends—mr. Sirus zabihi-m oghaddam, mr. hedayat kashefi-Naja-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fabadi and mr. Ataollah hamid Nasirizadeh—were arrested in mashhad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 1997 . early in 1998, branch #8 of the revolutionary court in mashhad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sentenced the first two to death and mr. Nasirizadeh to ten years’ imprison-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ment. it was the same court that sentenced to death mr. ruhollah rohani,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was executed on 21 july of that year. The three other sentences were 320.1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321.2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70subsequently set aside by the Supreme court on the grounds that the pris-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oners had not been permitted to have lawyers for their defense, as entitled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 the law, and a retrial was accordingly ordered. That retrial took place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branch #3 of the revolutionary court in mashhad, and in october 1998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original verdicts were reaffirmed. An appeal was subsequently made. (See our email of 1 d ecember 1998.)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28 may 1999, the united Nations commission on human rights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representative, professor maurice copithorne, was assured by iran’s per-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manent representative to the united Nations in geneva that “the Supreme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 decided to reject the verdict of capital punishment for the defendants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sent their cases to another competent court for a retrial.” . . . we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been informed that the verdicts, which were conveyed orally to the pris-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oners on 3 february, confirm the previous sentences: death for mr. zabihi-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moghaddam and mr. kashefi-Najafabadi and ten years’ imprisonment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kirman for mr. Nasirizadeh.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further, the same court has now imposed a death sentence on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manuchehr khulusi, who had been arrested in birjand some eight months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ago and subsequently transferred to the prison in mashhad. it is not known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charges were brought against mr. khulusi, but it is clear that he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arrested because of his b ahá’í activities.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court that rendered these judgments is composed of a single judge,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mr. Ni’mati. The prisoners have been given only 20 days to lodge a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test against their sentences, in which circumstance their cases may then be referred to a second court for review. As you will note, part of this very brief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 has already elapsed and, at this point, the outcome of their protest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not certain.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relatives of the prisoners have appealed for international action to pre-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vent the carrying out of the verdicts and the imminent execution of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innocent individuals.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secretariat321.3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321.5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321.6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705322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Laurie Arbab,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Former Member of National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Colombia and Director of Ruhi Institute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(2000-02-11)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