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2000-02-20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deeply grieved at the passing of mildred mottahedeh, so 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teemed, so greatly loved, so staunch and trusted a supporter and defender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 of bahá’u’lláh. with her departure from this earthly life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community has lost an outstanding figure of the opening 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ochs of the f ormative Age of the b ahá’í d ispensation.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 more than half a century of tireless endeavor in its service involved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 in teaching and administrative activities at the local, national, conti-nental and international levels. At the same time she maintained a rigorous schedule as a businesswoman, a contributor to the arts, and a promoter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humanitarian works. To these manifold tasks, she brought the combined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of a selfless spirit, a compassionate heart, a creative mind, a practi-cal sense, and a leonine will tempered by humility, candor and wit.322.1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706She remained for almost three decades at the forefront of the external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affairs work of the bahá’í international community and in the service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center of the faith, culminating in her membership on the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b ahá’í council, the first globally elected b ahá’í body.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assured hearts, we supplicate in the holy Shrines for the progress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her illumined soul throughout the divine worlds. our loving sympathy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extended to the members of her family and all others who mourn her loss.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are urged to hold befitting memorial gather-ings in her honor in all h ouses of w orship and other centers.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Clarification on Application of Bahá’í Laws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(2000-02-20)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