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2000-02-28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iranian government that will have the important effect of permitting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registration of bahá’í marriages in that country. for quite a number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years, as you know, the bahá’í community of iran has been seeking a way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bahá’í marriages and the birth of bahá’í children could be officially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registered and also validated on identity cards. The new situation could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 have come about because of the high number of bahá’í marriage cases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steadfastness of the individuals involved in refusing to register their bahá’í marriages under any other religious designation.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has now been learned that the head of the iranian judiciary recently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issued a circular letter to all registry offices throughout the country, stating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any couple who appear before the latter officials, acknowledging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husband and wife, may be registered without being required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 their religious affiliation. An official certification may then be issued and supplied to the couple concerned. At the same time, the judiciary has issued a related instruction to the registry offices with respect to the issuance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birth certificates and identity cards. couples whose personal status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validated by the aforementioned official certification are now to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information entered on their identity cards, acknowledging that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recognized as husband and wife. Thereafter, they should experience no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difficulty in registering children of the marriage.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new development removes at a stroke one of the most troublesome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problems that has long handicapped the members of the iranian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community. The arrangement provides ample proof of what bahá’í repre-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sentatives abroad have consistently maintained; namely, that the govern-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iran is able, if it so wishes, to find ways within existing laws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regulations, to accord bahá’ís the same freedoms enjoyed by all other ira-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nian citizens.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secretariat325.1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325.3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709326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 for Formation of Regional Bahá’í Councils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(2000-02-28)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