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2000-03-12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letter addressed to you under the date of 30 may 1997, the univer-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sal house of justice announced its decision to establish regional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councils as a new element of bahá’í administration, between the local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levels.326-1 These institutions are formed only with the permission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house of justice in certain countries where the growing complexity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issues which are facing National Spiritual Assemblies requires this development. As specified by the house of justice case by case for the coun-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tries directly concerned, a regional council is established either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election by the members of the local Spiritual Assemblies in a region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appointment by the National Spiritual Assembly, which receives recommendations of candidates from local Spiritual Assemblies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region. The date set for formation of regional councils has been 23 may,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anniversary of the declaration of the báb according to the gregorian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calendar.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keep you informed of essential aspects of the evolution of regional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councils, we have been asked to convey the following.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view of the experience gained over a period of several years, the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has recognized that it would be more practical to set a new date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formation of these institutions. henceforth, then, the election or ap-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pointment of regional councils will take effect every year on 26 November,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day of the covenant. The formation processes will, of course, have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set in motion in sufficient time to be concluded on this date.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326-1. See no. 250, pp. 582–93.326.1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326.2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326.3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710327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Election of New Member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(2000-03-12)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