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2000-05-10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pleased to be able to inform you that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has just been notified by the friends in iran that mr. manúchihr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khulúsí, who had been held in mashhad under sentence of death, has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released. it is not clear what gave rise to his release nor the status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verdict against him.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time of his arrest on 9 june 1999, mr. khulúsí was visiting bírjand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a meeting with the responsible friends of that town. About six days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later he was moved to a prison in mashhad, where he was held in solitary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confinement for some time, and his interrogation involved beating. The charges brought against mr. khulúsí are not known, but it is clear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related to his being a bahá’í. his trial took place in branch 3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islamic revolutionary court in mashhad on 7 and 8 September 1999,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death sentence was announced on 3 f ebruary 2000. mr. khulúsí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permitted to meet with his lawyer, and his attempts to submit an ap-peal against the verdict within the 20-day period allowed were denied.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wife succeeded in submitting a statement to branch 1 of the revolutionary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courts, and sent a copy by post to b ranch 3 of the Supreme court.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is delighted at mr. khulúsí’s release, and prays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will presage similar treatment for the eleven other dear friends known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unjustly held in iranian prisons by reason of their faith, and particularly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five under sentence of death.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secretariat334.1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334.2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334.3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2000–2001  •  T h e  T W e lv e  m o n Th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7335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Clarification on the Role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Regional Bahá’í Councils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(2000-05-10)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