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2000-05-16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pose a number of questions related to r egional b ahá’í councils.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reference to your first question, the establishment of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committees where local Spiritual Assemblies are not yet functioning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stitutes an important step in the development of local bahá’í communities.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Appointing such committees is a function of the National Spiritual Assem-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bly; however, it can certainly delegate this task to the regional councils, if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so wishes.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second question is whether or not a regional bahá’í council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accept or dissolve a local Spiritual Assembly in its area of jurisdiction. 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 the prerogative of recognition of local Spiritual Assemblies rests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National Spiritual Assembly, procedures for accepting local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semblies are determined at the discretion of the National Assembly. The question of dissolving local Assemblies is another matter; it should 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delegated by the National Assembly to the regional councils at this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councils can, of course, make recommendations to the National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sembly in this respect.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to your final query, you quote a passage concerning the need for newly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enrolled believers to understand that there is an administration in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must be obeyed and ask whether this applies to regional councils.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clearly for a regional council to carry out the range of responsibilities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which it has been entrusted, it has to have the complete support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friends, and its decisions should carry due weight. each of these decisions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within the context of one of the functions delegated by the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to the regional council. The response of the friends will be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mensurate with the nature of that function.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secretariat335.1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335.3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335.4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7336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Publication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Obligatory Prayer and Fasting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(2000-05-16)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