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2000-05-22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pleased to send you the enclosed copies of a new publication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writings entitled The Importance of  Obligatory Prayer and Fasting.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work has been prepared for the bahá’í world by the research depart-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recent application of additional laws related to the devotional life an-nounced by the house of justice in its message of 28 december 1999.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336-1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contains authorized versions prepared at the bahá’í world center of forty-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eight newly translated extracts from Tablets of bahá’u’lláh and ‘Abdu’l-b 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well as six previously untranslated prayers by b ahá’u’lláh for the f 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welcome to share its contents with the believers in whatever man-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ner you deem appropriate. The enclosed copies of the release edition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intended as samples. Additional copies will not be made available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center, although electronic copies of the text can be forwarded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upon request. No doubt in time, through your own publishing arrange-ments, printed editions will become available in many languages.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Administrative Order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(2000-05-22)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