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THE UNIVERSAL HOUSE OF JUSTICE</w:t>
      </w:r>
    </w:p>
    <w:p>
      <w:pPr>
        <w:spacing w:before="0" w:after="720"/>
        <w:jc w:val="center"/>
      </w:pPr>
      <w:r>
        <w:rPr>
          <w:rFonts w:ascii="Times New Roman" w:hAnsi="Times New Roman"/>
          <w:b w:val="0"/>
          <w:color w:val="000000"/>
          <w:sz w:val="22"/>
        </w:rPr>
        <w:t>2000-11-26</w:t>
      </w:r>
    </w:p>
    <w:p>
      <w:pPr>
        <w:spacing w:before="0" w:after="360"/>
        <w:jc w:val="left"/>
      </w:pPr>
      <w:r>
        <w:rPr>
          <w:rFonts w:ascii="Times New Roman" w:hAnsi="Times New Roman"/>
          <w:b w:val="0"/>
          <w:color w:val="000000"/>
          <w:sz w:val="22"/>
        </w:rPr>
        <w:t>To all National Spiritual Assemblies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dear b ahá’í f riends,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 25 march 1987 you were sent a document titled “A codification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law of þuqúqu’lláh,” prepared by the research department at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world center; this document is cross-referenced to the compila-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“þuqúqu’lláh, The right of god.”345-1 At the request of the universal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house of justice the codification has recently been revised, to incorporate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points made in certain of the quotations provided in the supplement to the compilation that was issued on 12 o ctober 1992.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we now enclose a copy of the new revision of the codification for circu-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lation to the friends, to further assist in deepening their understanding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law of þuqúqu’lláh.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with loving b ahá’í greetings,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Department  of tHe secretariat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A CODIFICATION OF THE LAW OF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prepared by the r esearch d epartment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 ahá’í w orld center in 1987,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revised in 1999, at the request of the u niversal h ouse of j ustice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Preamble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 (The right of god) is a great law (7)345-2 and a sacred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(72).345-3 laid down in the most holy book (the kitáb-i-Aqdas),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 of the key instruments for constructing the foundation and supporting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structure of the world order of bahá’u’lláh. it has far-reaching rami-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345-1. The referenced compilation on þuqúqu’lláh was released on 4 july 1985,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a new compilation entitled “þuqúqu’lláh: The right of god” was issued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u niversal h ouse of j ustice in April 2007 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345-2. The numbers in parentheses refer to the paragraphs of the compilation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 issued by the u niversal h ouse of j ustice.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345-3. reference to the extract number in parentheses has been removed from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first sentence in the 2007 revision to the codification.345.1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345.2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345.3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755fications that extend from promoting the welfare of the individual to but-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tressing the authority and extending the activity of the head of the faith.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providing a regular and systematic source of revenue for the central institu-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 of the cause, bahá’u’lláh has assured the means for the independence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decisive functioning of the w orld center of h is faith.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by identifying this law as “The right of god,” bahá’u’lláh has reem-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phasized the nature of the relationship between human beings and their creator as a covenant based on mutual assurances and obligations; and, by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designating the central Authority in the cause, to which all must turn,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recipient of this right, he has created a direct and vital link between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individual believer and the head of his faith that is unique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structure of his world order. This law enables the friends to recognize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elevation of their economic activity to the level of divine acceptability; it 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means for the purification of their wealth and a magnet attracting divine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blessings. The computation and the payment of þuqúqu’lláh, within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general guidelines set forth, are exclusively a matter of conscience between the individual and god (8, 104); demanding or soliciting the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is prohibited (8, 9, 38, 71, 96, 104): only appeals, reminders and exhor-tations of a general nature, under the auspices of the institutions of the faith, are permissible (38, 70, 99, 104, 107). That the observance and en-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forcement of this law, so crucial to the material well-being of the emerging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bahá’í commonwealth, should thus have been left entirely to the faith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conscience of the individual gives substance to, and sheds light on, what the beloved master calls the spiritual solution to economic problems. indeed,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implications of the law of þuqúqu’lláh for the realization of a number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principles of the faith, such as the elimination of extremes of wealth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poverty, and a more equitable distribution of resources, will increas-ingly become manifest as the friends assume in ever greater measure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responsibility for observing it.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fundamentals of the law of þuqúqu’lláh are promulgated in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kitáb-i-Aqdas. further elaborations of its features are to be found in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writings of bahá’u’lláh, in Tablets from ‘Abdu’l-b ahá and in letters from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questions raised by the friends. All these major references have been com-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separately published. A study of that compilation makes it clear that the application of the law has been progressive, and will continue to be so, as its ramifications and subsidiary rulings are elucidated.345.4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345.5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756The following is a preliminary attempt at codifying the information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the writings on the subject of þuqúqu’lláh. it should be emphasized,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however, that the friends should not attempt to read into it an element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rigidity or total comprehensiveness. The questions put to bahá’u’lláh,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master and Shoghi effendi were from friends residing in places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times with infinitely simpler economic systems and relationships than those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obtain today. what can be learned from them are clear guiding prin-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ciples whose application to changing and more complex conditions must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considered. The subject will undoubtedly occupy the universal house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justice in evolving legislation, as necessary, for a long time to come. As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fourth epoch of the formative Age of our faith unfolds before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eyes of an increasingly watchful humanity, the universal assumption of the obligation of þuqúqu’lláh by the friends will be a clear sign of attaining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new level of spiritual maturity by the community of the greatest Name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throughout the world.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 Bounty Granted by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god, while being wholly independent of all created things, has in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bounty given us this law (7, 10, 63), for the progress and promotion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cause depend on material means (1). obedience to this law enables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believer to be firm and steadfast in the covenant (63), provides a reward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 world of the worlds of god (7), and is a unique test of true faith (62).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þuqúqu’lláh is to be offered joyfully and without hesitation (2, 9,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32). when the þuqúqu’lláh is offered in this spirit it will impart prosperity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and protection to the friends, purify their worldly possessions (20, 31, 42,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46, 48, 100), and enable them and their offspring to benefit from the fruits of their endeavors (48).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Determining the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everything that a believer possesses, with the exception of certain specific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items, is subject once and only once to the payment of þuqúqu’lláh.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A. e xempt from assessment to þuqúqu’lláh are: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The residence and its needful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345-4 furnishings (11).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The needful business and agricultural equipment which produce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income for one’s subsistence (12, 67, 68).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345-4. See iii.c.1.345.6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345.7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345.8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757b. p ayment falls due: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þuqúqu’lláh is payable as soon as a person’s assessable possessions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reach or exceed the value of 19 mithqáls of gold (18, 19, 30). [19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mithqáls equal approximately 2.2 troy ounces, or approximately 69.2 grams (87, 105, 110).]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a) The amount to be paid is 19% of the value of the as-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sessable property (10, 14).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b) The payment is due on whole units of 19 mithqáls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gold (15).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þuqúqu’lláh is payable on further units of 19 mithqáls of gold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when subsequently acquired possessions, after the deduction of the annual expenses, raise the value of the assessable property sufficiently. Among the expenses to be deducted are: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a) The general expenses of living (65, 66, 69, 78).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b) losses and expenses incurred on the sale of possessions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(103).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c) Sums which are paid to the state, such as taxes and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duties (78).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when a person receives a gift or bequest it is to be added to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her possessions and augments the total value in the same way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does an excess of annual income over expenditure (111).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i f a property increases in value, þuqúqu’lláh is not payable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that increase until it is realized, e.g., on the sale of the property.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 i f possessions decrease, such as through the expenses of a year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exceeding the income received, þuqúqu’lláh falls due again only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after the loss has been made good and the total value of one’s assessable possessions is augmented (15–19, 30, 65–68, 78, 108, 111).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6. The payment of debts takes precedence over the payment of þuqúqu’lláh (22).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 . The payment of þuqúqu’lláh is dependent on the person’s finan-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cial ability to meet his obligations (24).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8. o n the death of a believer, the completion of his/her payment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 is accomplished in the following manner: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a) The first charge on the estate is the expense of burial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(22).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b) Secondly, the debts of the deceased must be paid (13).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758c) The þuqúqu’lláh still due on the property should then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be paid. in establishing the value of the property 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which þuqúq has not already been paid, the follow-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ing are among the deductions to be made: expenses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burial (22), debts of the deceased (13), loss of value of the assets when realized (103), and expenses incurred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realizing the assets (103).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c. f urther notes on determining þuqúqu’lláh: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i t is left to the individual to decide which expenses are to be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garded as “necessary” and therefore deductible in computing the annual accretion to savings, and which furnishings of the house-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hold are to be regarded as “needful” and therefore exempt from the payment of þuqúqu’lláh (57, 65–67, 69, 78, 80, 104–106,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112).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Although references are made to annual payments of þuqúqu’lláh,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time and method of payment are left to the discretion of the individual believer. There is, therefore, no obligation to liquidate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one’s assets in haste in order to fulfill one’s current obligations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 (103).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h usband and wife are free to decide whether they want to honor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their þuqúqu’lláh obligations jointly or individually (109, 110).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The account of þuqúqu’lláh should be kept separate from other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inasmuch as the disposition of the funds of the þuqúqu’lláh is subject to decision by the central Authority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cause to which all must turn, whereas the purposes of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contributions to other funds may be determined by the donors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themselves.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 p ayment of the þuqúqu’lláh has priority over making contribu-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tions to other funds of the faith (78, 79, 97, 100), as well as over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cost of pilgrimage (31). it is, however, left to the discretion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believer whether or not to treat contributions to the fund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an expense when arriving at the value of his or her property in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calculating the sum due to be paid as þuqúqu’lláh (105).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d. Additional notes, based on the first supplement to the compilation: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1. whereas a believer has discretion to decide whether to treat his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or her contributions to the funds of the faith as an expense, or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make them only out of money on which þuqúqu’lláh has been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2000–2001  •  T h e  T W e lv e  m o n Th  Pl a n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759paid, he or she also has the discretion to treat some contributions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in one way and some in the other. (Supp. 8)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2. o ne believer cannot discharge the obligation of another to pay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þuqúqu’lláh, nor can a payment to þuqúqu’lláh be earmarked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any purpose or be made in honor of anyone. (Supp. 10)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3. The law of þuqúqu’lláh imposes an obligation only on indi-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vidual believers, not on bahá’í institutions or corporate bodies.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(Supp. 11)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4. Although the law provides a certain leeway in the timing of the payment of þuqúqu’lláh, it should preferably be paid by a be-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liever during the course of his or her life whenever it falls due, and the only payment to þuqúqu’lláh which should need to be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provided for by will is such additional liability as may be found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to exist when the believer’s affairs are reckoned up as at the date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death. (Supp. 12)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5. e ach believer should learn not only how to calculate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during the course of his or her life, but also how to provide for the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payment of the balance remaining at the date of death. (Supp. 12)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Applicability of the Law of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for many decades the sacred law of þuqúqu’lláh had been applied only to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the believers from the middle east. The worldwide application was insti-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of the holy year marking the hundredth anniversary of the Ascension of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bahá’u’lláh.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Payment of Þuqúqu’lláhThe þuqúqu’lláh is normally paid to the T rustee of þuqúqu’lláh, his depu-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ties, or their appointed representatives (35, 58). These persons issue re-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ceipts and forward the funds to the b ahá’í w orld center (56).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Management of the Þuqúqu’lláh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decisions on the necessary ordinances concerning þuqúqu’lláh (81, 100),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as well as on its disposition, lie within the sole jurisdiction of the central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Authority in the cause. The þuqúqu’lláh can be employed for charitable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purposes (62, 65, 75), or for other purposes useful to the cause of god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(77, 78).345.10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345.11</w:t>
      </w:r>
    </w:p>
    <w:p>
      <w:pPr>
        <w:spacing w:before="280" w:after="120"/>
        <w:jc w:val="left"/>
      </w:pPr>
      <w:r>
        <w:rPr>
          <w:rFonts w:ascii="Times New Roman" w:hAnsi="Times New Roman"/>
          <w:b/>
          <w:color w:val="000000"/>
          <w:sz w:val="22"/>
        </w:rPr>
        <w:t>345.12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 eS Sa g e S f ro m  Th e  u n i v e r Sa l  h o u Se  o f  j u S Ti c e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760346</w:t>
      </w:r>
    </w:p>
    <w:p>
      <w:pPr>
        <w:spacing w:before="0" w:after="160" w:line="276" w:lineRule="auto"/>
        <w:jc w:val="both"/>
      </w:pPr>
      <w:r>
        <w:rPr>
          <w:rFonts w:ascii="Times New Roman" w:hAnsi="Times New Roman"/>
          <w:color w:val="000000"/>
          <w:sz w:val="22"/>
        </w:rPr>
        <w:t>Message to the ASEAN Youth Conference in Thailand</w:t>
      </w:r>
    </w:p>
    <w:p>
      <w:pPr>
        <w:spacing w:before="720" w:after="240"/>
        <w:jc w:val="center"/>
      </w:pPr>
      <w:r>
        <w:rPr>
          <w:rFonts w:ascii="Times New Roman" w:hAnsi="Times New Roman"/>
          <w:color w:val="000000"/>
          <w:sz w:val="22"/>
        </w:rPr>
        <w:t>[signed: The Universal House of Justice]</w:t>
      </w:r>
    </w:p>
    <w:sectPr w:rsidR="00FC693F" w:rsidRPr="0006063C" w:rsidSect="00034616">
      <w:footerReference w:type="default" r:id="rId9"/>
      <w:pgSz w:w="11909" w:h="16834"/>
      <w:pgMar w:top="1699" w:right="1699" w:bottom="1411" w:left="1699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color w:val="000000"/>
        <w:sz w:val="20"/>
      </w:rPr>
      <w:fldChar w:fldCharType="begin"/>
      <w:instrText xml:space="preserve">PAGE</w:instrText>
      <w:fldChar w:fldCharType="separate"/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To all National Spiritual Assemblies</dc:title>
  <dc:subject>Bahá'í Guidance (2000-11-26)</dc:subject>
  <dc:creator>THE UNIVERSAL HOUSE OF JUSTICE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