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2001-02-08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9 may 1993,352-1 each National Spiritual Assembly was sent a copy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a letter written to the National Spiritual Assembly of iceland on 9 june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1974,352-2 which listed those laws not at that time binding upon the western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world. The covering letter noted that the law of þuqúqu’lláh had been made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universally binding at ri¤ván 1992. on 28 december 1999,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wrote to the bahá’ís throughout the world informing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universal application of the remaining aspects of the laws of prayer and fasting.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352-3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Therefore, to bring the information up to date, we have been asked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send you the enclosed list of laws not yet universally applied, to replace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sent to you in m ay 1993.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352-1. See no. 153, pp. 333–34.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352-2. muhj, no. 147 .352-3. See no. 315, pp. 697–99.352.1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352.2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775LAWS OF THE KITÁB-I-AQDAS NOT YET UNIVERSALLY APPLIED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28 D ecember  1999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the universal application of the laws on prayer, fasting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provided the following list of laws noted in the Synopsis and codification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kitáb-i-Aqdas which are not at present universally binding upon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friends. The numbers of the sections are given for ease of reference.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iv.c.1.i  The laws governing betrothal.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iv.c.1.j The law concerning the payment of a dowry by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groom to the bride on marriage.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iv.c.1.l &amp; m  The laws concerning the traveling of a husband away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his wife.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iv.c.1.n &amp; o The laws relating to the virginity of the wife.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iv.c.2.b That part of the divorce law relating to fines payable to the h ouse of j 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iv.c.3 The law of inheritance. This is normally covered by civil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laws of intestacy at the present time.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iv.d.1.a The law of pilgrimage.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iv.d.1.d  The law of the mashriqu’l-A dhkár is gradually being put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into effect.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iv.d.1.f  The bahá’í festivals are being celebrated by the western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friends on their anniversaries in the gregorian calendar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 desirable to pass supplementary legislation necessary for the full implementation of the b adí‘ calendar.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iv.d.1.j The age of maturity applies only to bahá’í religious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duties as yet. on other matters it is subject to the civil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law of each country. The age of administrative maturity in the bahá’í community has, for the time being,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fixed at 21.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iv.d.1.k f or the burial of the dead the only requirements now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binding in the west are to bury the body (not to cremate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it), not to carry it more than a distance of one hour’s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journey from the place of death, and to say the prayer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the dead of the deceased is a believer over the age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15.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iv.d.1.p The law of tithes.352.3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776iv.d.1.r The law concerning the hunting of animals.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iv.d.1.t, The law relating to the finding of lost property,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disposition of treasure trove, the disposal of objects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held in trust and compensation for manslaughter are all designed for a future state of society. These matters are usually covered by the civil law of each country.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iv.d.1.y,  Arson, adultery, murder and theft are all forbidden to bahá’ís, but the punishments prescribed for them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kitab-i-Aqdas are designed for a future state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society. Such matters are usually covered by the civil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laws of each country.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iv.d.1.y,  The laws prohibiting the use of the type of pools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used to be found in persian baths, the plung-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of one’s hand in food, the shaving of one’s head and growth of men’s hair below the lobe of the ear.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All the exhortations listed in section iv.d.3 are applicable universally 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present time insofar as it is possible for the friends to implement them;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example, the exhortation to teach one’s children to chant the holy verses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mashriqu’l-A dhkár can be literally carried out only on a limited scale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at the present time, but the friends should, nevertheless, teach their children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 oly w ritings as far as possible.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353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Approval and Testing of Persian Radio Broadcasts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(2001-02-08)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