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2001-04-04</w:t>
      </w:r>
    </w:p>
    <w:p>
      <w:pPr>
        <w:spacing w:before="0" w:after="360"/>
        <w:jc w:val="left"/>
      </w:pPr>
      <w:r>
        <w:rPr>
          <w:rFonts w:ascii="Times New Roman" w:hAnsi="Times New Roman"/>
          <w:b w:val="0"/>
          <w:color w:val="000000"/>
          <w:sz w:val="22"/>
        </w:rPr>
        <w:t>To all National Spiritual Assembliesdear b aháí f</w:t>
      </w:r>
    </w:p>
    <w:p>
      <w:pPr>
        <w:spacing w:before="0" w:after="160" w:line="276" w:lineRule="auto"/>
        <w:jc w:val="both"/>
      </w:pPr>
      <w:r>
        <w:rPr>
          <w:rFonts w:ascii="Times New Roman" w:hAnsi="Times New Roman"/>
          <w:color w:val="000000"/>
          <w:sz w:val="22"/>
        </w:rPr>
        <w:t>The international Teaching center has sought elucidation of issues con-</w:t>
      </w:r>
    </w:p>
    <w:p>
      <w:pPr>
        <w:spacing w:before="0" w:after="160" w:line="276" w:lineRule="auto"/>
        <w:jc w:val="both"/>
      </w:pPr>
      <w:r>
        <w:rPr>
          <w:rFonts w:ascii="Times New Roman" w:hAnsi="Times New Roman"/>
          <w:color w:val="000000"/>
          <w:sz w:val="22"/>
        </w:rPr>
        <w:t>cerning the attitude of bahá’ís and bahá’í institutions towards those who</w:t>
      </w:r>
    </w:p>
    <w:p>
      <w:pPr>
        <w:spacing w:before="0" w:after="160" w:line="276" w:lineRule="auto"/>
        <w:jc w:val="both"/>
      </w:pPr>
      <w:r>
        <w:rPr>
          <w:rFonts w:ascii="Times New Roman" w:hAnsi="Times New Roman"/>
          <w:color w:val="000000"/>
          <w:sz w:val="22"/>
        </w:rPr>
        <w:t>have withdrawn from the faith. in response, we have provided the following</w:t>
      </w:r>
    </w:p>
    <w:p>
      <w:pPr>
        <w:spacing w:before="0" w:after="160" w:line="276" w:lineRule="auto"/>
        <w:jc w:val="both"/>
      </w:pPr>
      <w:r>
        <w:rPr>
          <w:rFonts w:ascii="Times New Roman" w:hAnsi="Times New Roman"/>
          <w:color w:val="000000"/>
          <w:sz w:val="22"/>
        </w:rPr>
        <w:t>comments, which are being sent to you for your information and guidance.</w:t>
      </w:r>
    </w:p>
    <w:p>
      <w:pPr>
        <w:spacing w:before="0" w:after="160" w:line="276" w:lineRule="auto"/>
        <w:jc w:val="both"/>
      </w:pPr>
      <w:r>
        <w:rPr>
          <w:rFonts w:ascii="Times New Roman" w:hAnsi="Times New Roman"/>
          <w:color w:val="000000"/>
          <w:sz w:val="22"/>
        </w:rPr>
        <w:t>you are free to share this letter with the believers under your jurisdiction as</w:t>
      </w:r>
    </w:p>
    <w:p>
      <w:pPr>
        <w:spacing w:before="0" w:after="160" w:line="276" w:lineRule="auto"/>
        <w:jc w:val="both"/>
      </w:pPr>
      <w:r>
        <w:rPr>
          <w:rFonts w:ascii="Times New Roman" w:hAnsi="Times New Roman"/>
          <w:color w:val="000000"/>
          <w:sz w:val="22"/>
        </w:rPr>
        <w:t>you wish.</w:t>
      </w:r>
    </w:p>
    <w:p>
      <w:pPr>
        <w:spacing w:before="0" w:after="160" w:line="276" w:lineRule="auto"/>
        <w:jc w:val="both"/>
      </w:pPr>
      <w:r>
        <w:rPr>
          <w:rFonts w:ascii="Times New Roman" w:hAnsi="Times New Roman"/>
          <w:color w:val="000000"/>
          <w:sz w:val="22"/>
        </w:rPr>
        <w:t>one’s beliefs are an internal and personal matter; no person or institution</w:t>
      </w:r>
    </w:p>
    <w:p>
      <w:pPr>
        <w:spacing w:before="0" w:after="160" w:line="276" w:lineRule="auto"/>
        <w:jc w:val="both"/>
      </w:pPr>
      <w:r>
        <w:rPr>
          <w:rFonts w:ascii="Times New Roman" w:hAnsi="Times New Roman"/>
          <w:color w:val="000000"/>
          <w:sz w:val="22"/>
        </w:rPr>
        <w:t>has the right to exert compulsion in matters of belief. Since there is a wide range of meanings in the Sacred Scriptures, there are bound to be differ-</w:t>
      </w:r>
    </w:p>
    <w:p>
      <w:pPr>
        <w:spacing w:before="0" w:after="160" w:line="276" w:lineRule="auto"/>
        <w:jc w:val="both"/>
      </w:pPr>
      <w:r>
        <w:rPr>
          <w:rFonts w:ascii="Times New Roman" w:hAnsi="Times New Roman"/>
          <w:color w:val="000000"/>
          <w:sz w:val="22"/>
        </w:rPr>
        <w:t>ent ways in which individuals understand many of the bahá’í teachings.</w:t>
      </w:r>
    </w:p>
    <w:p>
      <w:pPr>
        <w:spacing w:before="0" w:after="160" w:line="276" w:lineRule="auto"/>
        <w:jc w:val="both"/>
      </w:pPr>
      <w:r>
        <w:rPr>
          <w:rFonts w:ascii="Times New Roman" w:hAnsi="Times New Roman"/>
          <w:color w:val="000000"/>
          <w:sz w:val="22"/>
        </w:rPr>
        <w:t>Nevertheless, it is necessary for the viability of the bahá’í community that</w:t>
      </w:r>
    </w:p>
    <w:p>
      <w:pPr>
        <w:spacing w:before="0" w:after="160" w:line="276" w:lineRule="auto"/>
        <w:jc w:val="both"/>
      </w:pPr>
      <w:r>
        <w:rPr>
          <w:rFonts w:ascii="Times New Roman" w:hAnsi="Times New Roman"/>
          <w:color w:val="000000"/>
          <w:sz w:val="22"/>
        </w:rPr>
        <w:t>its members share a common understanding of essentials. This implies a commitment by each member to function within the framework established by such an understanding.</w:t>
      </w:r>
    </w:p>
    <w:p>
      <w:pPr>
        <w:spacing w:before="0" w:after="160" w:line="276" w:lineRule="auto"/>
        <w:jc w:val="both"/>
      </w:pPr>
      <w:r>
        <w:rPr>
          <w:rFonts w:ascii="Times New Roman" w:hAnsi="Times New Roman"/>
          <w:color w:val="000000"/>
          <w:sz w:val="22"/>
        </w:rPr>
        <w:t>This framework includes, for example, cognizance of the existence of a</w:t>
      </w:r>
    </w:p>
    <w:p>
      <w:pPr>
        <w:spacing w:before="0" w:after="160" w:line="276" w:lineRule="auto"/>
        <w:jc w:val="both"/>
      </w:pPr>
      <w:r>
        <w:rPr>
          <w:rFonts w:ascii="Times New Roman" w:hAnsi="Times New Roman"/>
          <w:color w:val="000000"/>
          <w:sz w:val="22"/>
        </w:rPr>
        <w:t>divine revelation brought by bahá’u’lláh, the manifestation of god for this 354.3</w:t>
      </w:r>
    </w:p>
    <w:p>
      <w:pPr>
        <w:spacing w:before="280" w:after="120"/>
        <w:jc w:val="left"/>
      </w:pPr>
      <w:r>
        <w:rPr>
          <w:rFonts w:ascii="Times New Roman" w:hAnsi="Times New Roman"/>
          <w:b/>
          <w:color w:val="000000"/>
          <w:sz w:val="22"/>
        </w:rPr>
        <w:t>355.1</w:t>
      </w:r>
    </w:p>
    <w:p>
      <w:pPr>
        <w:spacing w:before="280" w:after="120"/>
        <w:jc w:val="left"/>
      </w:pPr>
      <w:r>
        <w:rPr>
          <w:rFonts w:ascii="Times New Roman" w:hAnsi="Times New Roman"/>
          <w:b/>
          <w:color w:val="000000"/>
          <w:sz w:val="22"/>
        </w:rPr>
        <w:t>355.2</w:t>
      </w:r>
    </w:p>
    <w:p>
      <w:pPr>
        <w:spacing w:before="280" w:after="120"/>
        <w:jc w:val="left"/>
      </w:pPr>
      <w:r>
        <w:rPr>
          <w:rFonts w:ascii="Times New Roman" w:hAnsi="Times New Roman"/>
          <w:b/>
          <w:color w:val="000000"/>
          <w:sz w:val="22"/>
        </w:rPr>
        <w:t>355.3</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779age, and acceptance of the two primary duties prescribed by god, as ex-</w:t>
      </w:r>
    </w:p>
    <w:p>
      <w:pPr>
        <w:spacing w:before="0" w:after="160" w:line="276" w:lineRule="auto"/>
        <w:jc w:val="both"/>
      </w:pPr>
      <w:r>
        <w:rPr>
          <w:rFonts w:ascii="Times New Roman" w:hAnsi="Times New Roman"/>
          <w:color w:val="000000"/>
          <w:sz w:val="22"/>
        </w:rPr>
        <w:t>pressed in the kitáb-i-Aqdas, the most holy book of the bahá’í revelation.</w:t>
      </w:r>
    </w:p>
    <w:p>
      <w:pPr>
        <w:spacing w:before="0" w:after="160" w:line="276" w:lineRule="auto"/>
        <w:jc w:val="both"/>
      </w:pPr>
      <w:r>
        <w:rPr>
          <w:rFonts w:ascii="Times New Roman" w:hAnsi="Times New Roman"/>
          <w:color w:val="000000"/>
          <w:sz w:val="22"/>
        </w:rPr>
        <w:t>These are: “recognition of him who is the dayspring of his revelation</w:t>
      </w:r>
    </w:p>
    <w:p>
      <w:pPr>
        <w:spacing w:before="0" w:after="160" w:line="276" w:lineRule="auto"/>
        <w:jc w:val="both"/>
      </w:pPr>
      <w:r>
        <w:rPr>
          <w:rFonts w:ascii="Times New Roman" w:hAnsi="Times New Roman"/>
          <w:color w:val="000000"/>
          <w:sz w:val="22"/>
        </w:rPr>
        <w:t>and the fountain of his laws,” and observance of “every ordinance of him</w:t>
      </w:r>
    </w:p>
    <w:p>
      <w:pPr>
        <w:spacing w:before="0" w:after="160" w:line="276" w:lineRule="auto"/>
        <w:jc w:val="both"/>
      </w:pPr>
      <w:r>
        <w:rPr>
          <w:rFonts w:ascii="Times New Roman" w:hAnsi="Times New Roman"/>
          <w:color w:val="000000"/>
          <w:sz w:val="22"/>
        </w:rPr>
        <w:t>who is the desire of the world. These twin duties,” the Aqdas firmly states,</w:t>
      </w:r>
    </w:p>
    <w:p>
      <w:pPr>
        <w:spacing w:before="0" w:after="160" w:line="276" w:lineRule="auto"/>
        <w:jc w:val="both"/>
      </w:pPr>
      <w:r>
        <w:rPr>
          <w:rFonts w:ascii="Times New Roman" w:hAnsi="Times New Roman"/>
          <w:color w:val="000000"/>
          <w:sz w:val="22"/>
        </w:rPr>
        <w:t>“are inseparable. Neither is acceptable without the other.”355-1</w:t>
      </w:r>
    </w:p>
    <w:p>
      <w:pPr>
        <w:spacing w:before="0" w:after="160" w:line="276" w:lineRule="auto"/>
        <w:jc w:val="both"/>
      </w:pPr>
      <w:r>
        <w:rPr>
          <w:rFonts w:ascii="Times New Roman" w:hAnsi="Times New Roman"/>
          <w:color w:val="000000"/>
          <w:sz w:val="22"/>
        </w:rPr>
        <w:t>‘Abdu’l-b ahá, whom bahá’u’lláh appointed as the interpreter of his</w:t>
      </w:r>
    </w:p>
    <w:p>
      <w:pPr>
        <w:spacing w:before="0" w:after="160" w:line="276" w:lineRule="auto"/>
        <w:jc w:val="both"/>
      </w:pPr>
      <w:r>
        <w:rPr>
          <w:rFonts w:ascii="Times New Roman" w:hAnsi="Times New Roman"/>
          <w:color w:val="000000"/>
          <w:sz w:val="22"/>
        </w:rPr>
        <w:t>writings, reaffirms these fundamentals of bahá’í belief. in his will and</w:t>
      </w:r>
    </w:p>
    <w:p>
      <w:pPr>
        <w:spacing w:before="0" w:after="160" w:line="276" w:lineRule="auto"/>
        <w:jc w:val="both"/>
      </w:pPr>
      <w:r>
        <w:rPr>
          <w:rFonts w:ascii="Times New Roman" w:hAnsi="Times New Roman"/>
          <w:color w:val="000000"/>
          <w:sz w:val="22"/>
        </w:rPr>
        <w:t>Testament h e writes: “This is the foundation of the belief of the people of</w:t>
      </w:r>
    </w:p>
    <w:p>
      <w:pPr>
        <w:spacing w:before="0" w:after="160" w:line="276" w:lineRule="auto"/>
        <w:jc w:val="both"/>
      </w:pPr>
      <w:r>
        <w:rPr>
          <w:rFonts w:ascii="Times New Roman" w:hAnsi="Times New Roman"/>
          <w:color w:val="000000"/>
          <w:sz w:val="22"/>
        </w:rPr>
        <w:t>bahá (may my life be offered up for them): ‘h is holiness, the exalted one</w:t>
      </w:r>
    </w:p>
    <w:p>
      <w:pPr>
        <w:spacing w:before="0" w:after="160" w:line="276" w:lineRule="auto"/>
        <w:jc w:val="both"/>
      </w:pPr>
      <w:r>
        <w:rPr>
          <w:rFonts w:ascii="Times New Roman" w:hAnsi="Times New Roman"/>
          <w:color w:val="000000"/>
          <w:sz w:val="22"/>
        </w:rPr>
        <w:t>(the báb), is the manifestation of the unity and oneness of god and the</w:t>
      </w:r>
    </w:p>
    <w:p>
      <w:pPr>
        <w:spacing w:before="0" w:after="160" w:line="276" w:lineRule="auto"/>
        <w:jc w:val="both"/>
      </w:pPr>
      <w:r>
        <w:rPr>
          <w:rFonts w:ascii="Times New Roman" w:hAnsi="Times New Roman"/>
          <w:color w:val="000000"/>
          <w:sz w:val="22"/>
        </w:rPr>
        <w:t>forerunner of the Ancient beauty. his holiness the Abhá beauty (may my</w:t>
      </w:r>
    </w:p>
    <w:p>
      <w:pPr>
        <w:spacing w:before="0" w:after="160" w:line="276" w:lineRule="auto"/>
        <w:jc w:val="both"/>
      </w:pPr>
      <w:r>
        <w:rPr>
          <w:rFonts w:ascii="Times New Roman" w:hAnsi="Times New Roman"/>
          <w:color w:val="000000"/>
          <w:sz w:val="22"/>
        </w:rPr>
        <w:t>life be a sacrifice for his steadfast friends) is the Supreme manifestation of</w:t>
      </w:r>
    </w:p>
    <w:p>
      <w:pPr>
        <w:spacing w:before="0" w:after="160" w:line="276" w:lineRule="auto"/>
        <w:jc w:val="both"/>
      </w:pPr>
      <w:r>
        <w:rPr>
          <w:rFonts w:ascii="Times New Roman" w:hAnsi="Times New Roman"/>
          <w:color w:val="000000"/>
          <w:sz w:val="22"/>
        </w:rPr>
        <w:t>god and the dayspring of his most divine essence. All others are servants</w:t>
      </w:r>
    </w:p>
    <w:p>
      <w:pPr>
        <w:spacing w:before="0" w:after="160" w:line="276" w:lineRule="auto"/>
        <w:jc w:val="both"/>
      </w:pPr>
      <w:r>
        <w:rPr>
          <w:rFonts w:ascii="Times New Roman" w:hAnsi="Times New Roman"/>
          <w:color w:val="000000"/>
          <w:sz w:val="22"/>
        </w:rPr>
        <w:t>unto h im and do h is bidding.’”355-2</w:t>
      </w:r>
    </w:p>
    <w:p>
      <w:pPr>
        <w:spacing w:before="0" w:after="160" w:line="276" w:lineRule="auto"/>
        <w:jc w:val="both"/>
      </w:pPr>
      <w:r>
        <w:rPr>
          <w:rFonts w:ascii="Times New Roman" w:hAnsi="Times New Roman"/>
          <w:color w:val="000000"/>
          <w:sz w:val="22"/>
        </w:rPr>
        <w:t>it is within the context of these statements of basic belief and practice</w:t>
      </w:r>
    </w:p>
    <w:p>
      <w:pPr>
        <w:spacing w:before="0" w:after="160" w:line="276" w:lineRule="auto"/>
        <w:jc w:val="both"/>
      </w:pPr>
      <w:r>
        <w:rPr>
          <w:rFonts w:ascii="Times New Roman" w:hAnsi="Times New Roman"/>
          <w:color w:val="000000"/>
          <w:sz w:val="22"/>
        </w:rPr>
        <w:t>that membership in the bahá’í faith is determined. Acknowledging that the</w:t>
      </w:r>
    </w:p>
    <w:p>
      <w:pPr>
        <w:spacing w:before="0" w:after="160" w:line="276" w:lineRule="auto"/>
        <w:jc w:val="both"/>
      </w:pPr>
      <w:r>
        <w:rPr>
          <w:rFonts w:ascii="Times New Roman" w:hAnsi="Times New Roman"/>
          <w:color w:val="000000"/>
          <w:sz w:val="22"/>
        </w:rPr>
        <w:t>matter of ascertaining the qualification of a true believer is a delicate and</w:t>
      </w:r>
    </w:p>
    <w:p>
      <w:pPr>
        <w:spacing w:before="0" w:after="160" w:line="276" w:lineRule="auto"/>
        <w:jc w:val="both"/>
      </w:pPr>
      <w:r>
        <w:rPr>
          <w:rFonts w:ascii="Times New Roman" w:hAnsi="Times New Roman"/>
          <w:color w:val="000000"/>
          <w:sz w:val="22"/>
        </w:rPr>
        <w:t>complex question, Shoghi effendi, the appointee of ‘Abdu’l-b ahá as guard-</w:t>
      </w:r>
    </w:p>
    <w:p>
      <w:pPr>
        <w:spacing w:before="0" w:after="160" w:line="276" w:lineRule="auto"/>
        <w:jc w:val="both"/>
      </w:pPr>
      <w:r>
        <w:rPr>
          <w:rFonts w:ascii="Times New Roman" w:hAnsi="Times New Roman"/>
          <w:color w:val="000000"/>
          <w:sz w:val="22"/>
        </w:rPr>
        <w:t>ian of the cause and authorized interpreter of its teachings, set down for</w:t>
      </w:r>
    </w:p>
    <w:p>
      <w:pPr>
        <w:spacing w:before="0" w:after="160" w:line="276" w:lineRule="auto"/>
        <w:jc w:val="both"/>
      </w:pPr>
      <w:r>
        <w:rPr>
          <w:rFonts w:ascii="Times New Roman" w:hAnsi="Times New Roman"/>
          <w:color w:val="000000"/>
          <w:sz w:val="22"/>
        </w:rPr>
        <w:t>Spiritual Assemblies the principal factors that must be taken into consider-</w:t>
      </w:r>
    </w:p>
    <w:p>
      <w:pPr>
        <w:spacing w:before="0" w:after="160" w:line="276" w:lineRule="auto"/>
        <w:jc w:val="both"/>
      </w:pPr>
      <w:r>
        <w:rPr>
          <w:rFonts w:ascii="Times New Roman" w:hAnsi="Times New Roman"/>
          <w:color w:val="000000"/>
          <w:sz w:val="22"/>
        </w:rPr>
        <w:t>ation before deciding whether a person may be regarded as a true believer or</w:t>
      </w:r>
    </w:p>
    <w:p>
      <w:pPr>
        <w:spacing w:before="0" w:after="160" w:line="276" w:lineRule="auto"/>
        <w:jc w:val="both"/>
      </w:pPr>
      <w:r>
        <w:rPr>
          <w:rFonts w:ascii="Times New Roman" w:hAnsi="Times New Roman"/>
          <w:color w:val="000000"/>
          <w:sz w:val="22"/>
        </w:rPr>
        <w:t>not: “f ull recognition of the station of the forerunner, the Author, and the</w:t>
      </w:r>
    </w:p>
    <w:p>
      <w:pPr>
        <w:spacing w:before="0" w:after="160" w:line="276" w:lineRule="auto"/>
        <w:jc w:val="both"/>
      </w:pPr>
      <w:r>
        <w:rPr>
          <w:rFonts w:ascii="Times New Roman" w:hAnsi="Times New Roman"/>
          <w:color w:val="000000"/>
          <w:sz w:val="22"/>
        </w:rPr>
        <w:t>T rue exemplar of the bahá’í cause, as set forth in ‘Abdu’l-b ahá’s Testament;</w:t>
      </w:r>
    </w:p>
    <w:p>
      <w:pPr>
        <w:spacing w:before="0" w:after="160" w:line="276" w:lineRule="auto"/>
        <w:jc w:val="both"/>
      </w:pPr>
      <w:r>
        <w:rPr>
          <w:rFonts w:ascii="Times New Roman" w:hAnsi="Times New Roman"/>
          <w:color w:val="000000"/>
          <w:sz w:val="22"/>
        </w:rPr>
        <w:t>unreserved acceptance of, and submission to, whatsoever has been revealed</w:t>
      </w:r>
    </w:p>
    <w:p>
      <w:pPr>
        <w:spacing w:before="0" w:after="160" w:line="276" w:lineRule="auto"/>
        <w:jc w:val="both"/>
      </w:pPr>
      <w:r>
        <w:rPr>
          <w:rFonts w:ascii="Times New Roman" w:hAnsi="Times New Roman"/>
          <w:color w:val="000000"/>
          <w:sz w:val="22"/>
        </w:rPr>
        <w:t>by their pen; loyal and steadfast adherence to every clause of our beloved’s</w:t>
      </w:r>
    </w:p>
    <w:p>
      <w:pPr>
        <w:spacing w:before="0" w:after="160" w:line="276" w:lineRule="auto"/>
        <w:jc w:val="both"/>
      </w:pPr>
      <w:r>
        <w:rPr>
          <w:rFonts w:ascii="Times New Roman" w:hAnsi="Times New Roman"/>
          <w:color w:val="000000"/>
          <w:sz w:val="22"/>
        </w:rPr>
        <w:t>sacred will; and close association with the spirit as well as the form of the</w:t>
      </w:r>
    </w:p>
    <w:p>
      <w:pPr>
        <w:spacing w:before="0" w:after="160" w:line="276" w:lineRule="auto"/>
        <w:jc w:val="both"/>
      </w:pPr>
      <w:r>
        <w:rPr>
          <w:rFonts w:ascii="Times New Roman" w:hAnsi="Times New Roman"/>
          <w:color w:val="000000"/>
          <w:sz w:val="22"/>
        </w:rPr>
        <w:t>present day b ahá’í administration throughout the world. . . .”355-3</w:t>
      </w:r>
    </w:p>
    <w:p>
      <w:pPr>
        <w:spacing w:before="0" w:after="160" w:line="276" w:lineRule="auto"/>
        <w:jc w:val="both"/>
      </w:pPr>
      <w:r>
        <w:rPr>
          <w:rFonts w:ascii="Times New Roman" w:hAnsi="Times New Roman"/>
          <w:color w:val="000000"/>
          <w:sz w:val="22"/>
        </w:rPr>
        <w:t>viewed in the light of these texts, a statement that one wishes to with-</w:t>
      </w:r>
    </w:p>
    <w:p>
      <w:pPr>
        <w:spacing w:before="0" w:after="160" w:line="276" w:lineRule="auto"/>
        <w:jc w:val="both"/>
      </w:pPr>
      <w:r>
        <w:rPr>
          <w:rFonts w:ascii="Times New Roman" w:hAnsi="Times New Roman"/>
          <w:color w:val="000000"/>
          <w:sz w:val="22"/>
        </w:rPr>
        <w:t>draw from the bahá’í community, but not from the faith, is seen to be</w:t>
      </w:r>
    </w:p>
    <w:p>
      <w:pPr>
        <w:spacing w:before="0" w:after="160" w:line="276" w:lineRule="auto"/>
        <w:jc w:val="both"/>
      </w:pPr>
      <w:r>
        <w:rPr>
          <w:rFonts w:ascii="Times New Roman" w:hAnsi="Times New Roman"/>
          <w:color w:val="000000"/>
          <w:sz w:val="22"/>
        </w:rPr>
        <w:t>self-contradictory. The bahá’í community must be seen in its proper light.</w:t>
      </w:r>
    </w:p>
    <w:p>
      <w:pPr>
        <w:spacing w:before="0" w:after="160" w:line="276" w:lineRule="auto"/>
        <w:jc w:val="both"/>
      </w:pPr>
      <w:r>
        <w:rPr>
          <w:rFonts w:ascii="Times New Roman" w:hAnsi="Times New Roman"/>
          <w:color w:val="000000"/>
          <w:sz w:val="22"/>
        </w:rPr>
        <w:t>The necessity for its existence as an inseparable element of the faith itself</w:t>
      </w:r>
    </w:p>
    <w:p>
      <w:pPr>
        <w:spacing w:before="0" w:after="160" w:line="276" w:lineRule="auto"/>
        <w:jc w:val="both"/>
      </w:pPr>
      <w:r>
        <w:rPr>
          <w:rFonts w:ascii="Times New Roman" w:hAnsi="Times New Roman"/>
          <w:color w:val="000000"/>
          <w:sz w:val="22"/>
        </w:rPr>
        <w:t>355-1. kA, ¶1.</w:t>
      </w:r>
    </w:p>
    <w:p>
      <w:pPr>
        <w:spacing w:before="0" w:after="160" w:line="276" w:lineRule="auto"/>
        <w:jc w:val="both"/>
      </w:pPr>
      <w:r>
        <w:rPr>
          <w:rFonts w:ascii="Times New Roman" w:hAnsi="Times New Roman"/>
          <w:color w:val="000000"/>
          <w:sz w:val="22"/>
        </w:rPr>
        <w:t>355-2. w T, p. 19.</w:t>
      </w:r>
    </w:p>
    <w:p>
      <w:pPr>
        <w:spacing w:before="0" w:after="160" w:line="276" w:lineRule="auto"/>
        <w:jc w:val="both"/>
      </w:pPr>
      <w:r>
        <w:rPr>
          <w:rFonts w:ascii="Times New Roman" w:hAnsi="Times New Roman"/>
          <w:color w:val="000000"/>
          <w:sz w:val="22"/>
        </w:rPr>
        <w:t>355-3. bA, p. 90.355.4</w:t>
      </w:r>
    </w:p>
    <w:p>
      <w:pPr>
        <w:spacing w:before="280" w:after="120"/>
        <w:jc w:val="left"/>
      </w:pPr>
      <w:r>
        <w:rPr>
          <w:rFonts w:ascii="Times New Roman" w:hAnsi="Times New Roman"/>
          <w:b/>
          <w:color w:val="000000"/>
          <w:sz w:val="22"/>
        </w:rPr>
        <w:t>355.5</w:t>
      </w:r>
    </w:p>
    <w:p>
      <w:pPr>
        <w:spacing w:before="280" w:after="120"/>
        <w:jc w:val="left"/>
      </w:pPr>
      <w:r>
        <w:rPr>
          <w:rFonts w:ascii="Times New Roman" w:hAnsi="Times New Roman"/>
          <w:b/>
          <w:color w:val="000000"/>
          <w:sz w:val="22"/>
        </w:rPr>
        <w:t>355.6</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780is explained by the stated purpose of the revelation of bahá’u’lláh: to bring</w:t>
      </w:r>
    </w:p>
    <w:p>
      <w:pPr>
        <w:spacing w:before="0" w:after="160" w:line="276" w:lineRule="auto"/>
        <w:jc w:val="both"/>
      </w:pPr>
      <w:r>
        <w:rPr>
          <w:rFonts w:ascii="Times New Roman" w:hAnsi="Times New Roman"/>
          <w:color w:val="000000"/>
          <w:sz w:val="22"/>
        </w:rPr>
        <w:t>about a divine civilization. The embodiment of that purpose and of the</w:t>
      </w:r>
    </w:p>
    <w:p>
      <w:pPr>
        <w:spacing w:before="0" w:after="160" w:line="276" w:lineRule="auto"/>
        <w:jc w:val="both"/>
      </w:pPr>
      <w:r>
        <w:rPr>
          <w:rFonts w:ascii="Times New Roman" w:hAnsi="Times New Roman"/>
          <w:color w:val="000000"/>
          <w:sz w:val="22"/>
        </w:rPr>
        <w:t>spirit breathed by bahá’u’lláh into the world is the order he has ordained,</w:t>
      </w:r>
    </w:p>
    <w:p>
      <w:pPr>
        <w:spacing w:before="0" w:after="160" w:line="276" w:lineRule="auto"/>
        <w:jc w:val="both"/>
      </w:pPr>
      <w:r>
        <w:rPr>
          <w:rFonts w:ascii="Times New Roman" w:hAnsi="Times New Roman"/>
          <w:color w:val="000000"/>
          <w:sz w:val="22"/>
        </w:rPr>
        <w:t>to which he refers in the most holy book in asserting: “The world’s equilib-</w:t>
      </w:r>
    </w:p>
    <w:p>
      <w:pPr>
        <w:spacing w:before="0" w:after="160" w:line="276" w:lineRule="auto"/>
        <w:jc w:val="both"/>
      </w:pPr>
      <w:r>
        <w:rPr>
          <w:rFonts w:ascii="Times New Roman" w:hAnsi="Times New Roman"/>
          <w:color w:val="000000"/>
          <w:sz w:val="22"/>
        </w:rPr>
        <w:t>rium hath been upset through the vibrating influence of this most great, this</w:t>
      </w:r>
    </w:p>
    <w:p>
      <w:pPr>
        <w:spacing w:before="0" w:after="160" w:line="276" w:lineRule="auto"/>
        <w:jc w:val="both"/>
      </w:pPr>
      <w:r>
        <w:rPr>
          <w:rFonts w:ascii="Times New Roman" w:hAnsi="Times New Roman"/>
          <w:color w:val="000000"/>
          <w:sz w:val="22"/>
        </w:rPr>
        <w:t>new world order. mankind’s ordered life hath been revolutionized through</w:t>
      </w:r>
    </w:p>
    <w:p>
      <w:pPr>
        <w:spacing w:before="0" w:after="160" w:line="276" w:lineRule="auto"/>
        <w:jc w:val="both"/>
      </w:pPr>
      <w:r>
        <w:rPr>
          <w:rFonts w:ascii="Times New Roman" w:hAnsi="Times New Roman"/>
          <w:color w:val="000000"/>
          <w:sz w:val="22"/>
        </w:rPr>
        <w:t>the agency of this unique, this wondrous System—the like of which mortal eyes have never witnessed.”</w:t>
      </w:r>
    </w:p>
    <w:p>
      <w:pPr>
        <w:spacing w:before="0" w:after="160" w:line="276" w:lineRule="auto"/>
        <w:jc w:val="both"/>
      </w:pPr>
      <w:r>
        <w:rPr>
          <w:rFonts w:ascii="Times New Roman" w:hAnsi="Times New Roman"/>
          <w:color w:val="000000"/>
          <w:sz w:val="22"/>
        </w:rPr>
        <w:t>355-4</w:t>
      </w:r>
    </w:p>
    <w:p>
      <w:pPr>
        <w:spacing w:before="0" w:after="160" w:line="276" w:lineRule="auto"/>
        <w:jc w:val="both"/>
      </w:pPr>
      <w:r>
        <w:rPr>
          <w:rFonts w:ascii="Times New Roman" w:hAnsi="Times New Roman"/>
          <w:color w:val="000000"/>
          <w:sz w:val="22"/>
        </w:rPr>
        <w:t>Normally, a Spiritual Assembly is called upon to make a decision in such</w:t>
      </w:r>
    </w:p>
    <w:p>
      <w:pPr>
        <w:spacing w:before="0" w:after="160" w:line="276" w:lineRule="auto"/>
        <w:jc w:val="both"/>
      </w:pPr>
      <w:r>
        <w:rPr>
          <w:rFonts w:ascii="Times New Roman" w:hAnsi="Times New Roman"/>
          <w:color w:val="000000"/>
          <w:sz w:val="22"/>
        </w:rPr>
        <w:t>matters only as the result of an action by an individual, either in declaring</w:t>
      </w:r>
    </w:p>
    <w:p>
      <w:pPr>
        <w:spacing w:before="0" w:after="160" w:line="276" w:lineRule="auto"/>
        <w:jc w:val="both"/>
      </w:pPr>
      <w:r>
        <w:rPr>
          <w:rFonts w:ascii="Times New Roman" w:hAnsi="Times New Roman"/>
          <w:color w:val="000000"/>
          <w:sz w:val="22"/>
        </w:rPr>
        <w:t>his belief in bahá’u’lláh, or in stating that he wishes to withdraw from the</w:t>
      </w:r>
    </w:p>
    <w:p>
      <w:pPr>
        <w:spacing w:before="0" w:after="160" w:line="276" w:lineRule="auto"/>
        <w:jc w:val="both"/>
      </w:pPr>
      <w:r>
        <w:rPr>
          <w:rFonts w:ascii="Times New Roman" w:hAnsi="Times New Roman"/>
          <w:color w:val="000000"/>
          <w:sz w:val="22"/>
        </w:rPr>
        <w:t>faith, or, very rarely, in persistently promoting concepts which are clearly</w:t>
      </w:r>
    </w:p>
    <w:p>
      <w:pPr>
        <w:spacing w:before="0" w:after="160" w:line="276" w:lineRule="auto"/>
        <w:jc w:val="both"/>
      </w:pPr>
      <w:r>
        <w:rPr>
          <w:rFonts w:ascii="Times New Roman" w:hAnsi="Times New Roman"/>
          <w:color w:val="000000"/>
          <w:sz w:val="22"/>
        </w:rPr>
        <w:t>inconsistent with the essentials of membership outlined above.</w:t>
      </w:r>
    </w:p>
    <w:p>
      <w:pPr>
        <w:spacing w:before="0" w:after="160" w:line="276" w:lineRule="auto"/>
        <w:jc w:val="both"/>
      </w:pPr>
      <w:r>
        <w:rPr>
          <w:rFonts w:ascii="Times New Roman" w:hAnsi="Times New Roman"/>
          <w:color w:val="000000"/>
          <w:sz w:val="22"/>
        </w:rPr>
        <w:t>Acceptance of the faith is the voluntary act of an individual and is reg-</w:t>
      </w:r>
    </w:p>
    <w:p>
      <w:pPr>
        <w:spacing w:before="0" w:after="160" w:line="276" w:lineRule="auto"/>
        <w:jc w:val="both"/>
      </w:pPr>
      <w:r>
        <w:rPr>
          <w:rFonts w:ascii="Times New Roman" w:hAnsi="Times New Roman"/>
          <w:color w:val="000000"/>
          <w:sz w:val="22"/>
        </w:rPr>
        <w:t>istered by the appropriate bahá’í institution unless it has good reason not</w:t>
      </w:r>
    </w:p>
    <w:p>
      <w:pPr>
        <w:spacing w:before="0" w:after="160" w:line="276" w:lineRule="auto"/>
        <w:jc w:val="both"/>
      </w:pPr>
      <w:r>
        <w:rPr>
          <w:rFonts w:ascii="Times New Roman" w:hAnsi="Times New Roman"/>
          <w:color w:val="000000"/>
          <w:sz w:val="22"/>
        </w:rPr>
        <w:t>to do so. likewise, a bahá’í is free to leave the faith voluntarily. when a</w:t>
      </w:r>
    </w:p>
    <w:p>
      <w:pPr>
        <w:spacing w:before="0" w:after="160" w:line="276" w:lineRule="auto"/>
        <w:jc w:val="both"/>
      </w:pPr>
      <w:r>
        <w:rPr>
          <w:rFonts w:ascii="Times New Roman" w:hAnsi="Times New Roman"/>
          <w:color w:val="000000"/>
          <w:sz w:val="22"/>
        </w:rPr>
        <w:t>member of the community informs the Assembly of his wish to withdraw,</w:t>
      </w:r>
    </w:p>
    <w:p>
      <w:pPr>
        <w:spacing w:before="0" w:after="160" w:line="276" w:lineRule="auto"/>
        <w:jc w:val="both"/>
      </w:pPr>
      <w:r>
        <w:rPr>
          <w:rFonts w:ascii="Times New Roman" w:hAnsi="Times New Roman"/>
          <w:color w:val="000000"/>
          <w:sz w:val="22"/>
        </w:rPr>
        <w:t>it would try to help him overcome whatever problems seem to be the cause</w:t>
      </w:r>
    </w:p>
    <w:p>
      <w:pPr>
        <w:spacing w:before="0" w:after="160" w:line="276" w:lineRule="auto"/>
        <w:jc w:val="both"/>
      </w:pPr>
      <w:r>
        <w:rPr>
          <w:rFonts w:ascii="Times New Roman" w:hAnsi="Times New Roman"/>
          <w:color w:val="000000"/>
          <w:sz w:val="22"/>
        </w:rPr>
        <w:t>of his desiring to take such a step. if he persists in his intention, the As-</w:t>
      </w:r>
    </w:p>
    <w:p>
      <w:pPr>
        <w:spacing w:before="0" w:after="160" w:line="276" w:lineRule="auto"/>
        <w:jc w:val="both"/>
      </w:pPr>
      <w:r>
        <w:rPr>
          <w:rFonts w:ascii="Times New Roman" w:hAnsi="Times New Roman"/>
          <w:color w:val="000000"/>
          <w:sz w:val="22"/>
        </w:rPr>
        <w:t>sembly would normally accept the withdrawal unless there were grounds for</w:t>
      </w:r>
    </w:p>
    <w:p>
      <w:pPr>
        <w:spacing w:before="0" w:after="160" w:line="276" w:lineRule="auto"/>
        <w:jc w:val="both"/>
      </w:pPr>
      <w:r>
        <w:rPr>
          <w:rFonts w:ascii="Times New Roman" w:hAnsi="Times New Roman"/>
          <w:color w:val="000000"/>
          <w:sz w:val="22"/>
        </w:rPr>
        <w:t>suspecting that he is acting insincerely out of some ulterior motive, such as</w:t>
      </w:r>
    </w:p>
    <w:p>
      <w:pPr>
        <w:spacing w:before="0" w:after="160" w:line="276" w:lineRule="auto"/>
        <w:jc w:val="both"/>
      </w:pPr>
      <w:r>
        <w:rPr>
          <w:rFonts w:ascii="Times New Roman" w:hAnsi="Times New Roman"/>
          <w:color w:val="000000"/>
          <w:sz w:val="22"/>
        </w:rPr>
        <w:t>to violate a b ahá’í law with impunity.</w:t>
      </w:r>
    </w:p>
    <w:p>
      <w:pPr>
        <w:spacing w:before="0" w:after="160" w:line="276" w:lineRule="auto"/>
        <w:jc w:val="both"/>
      </w:pPr>
      <w:r>
        <w:rPr>
          <w:rFonts w:ascii="Times New Roman" w:hAnsi="Times New Roman"/>
          <w:color w:val="000000"/>
          <w:sz w:val="22"/>
        </w:rPr>
        <w:t>in spite of loving encouragement given by their Assemblies, not all</w:t>
      </w:r>
    </w:p>
    <w:p>
      <w:pPr>
        <w:spacing w:before="0" w:after="160" w:line="276" w:lineRule="auto"/>
        <w:jc w:val="both"/>
      </w:pPr>
      <w:r>
        <w:rPr>
          <w:rFonts w:ascii="Times New Roman" w:hAnsi="Times New Roman"/>
          <w:color w:val="000000"/>
          <w:sz w:val="22"/>
        </w:rPr>
        <w:t>bahá’ís are active in the work of the community. This does not, of course,</w:t>
      </w:r>
    </w:p>
    <w:p>
      <w:pPr>
        <w:spacing w:before="0" w:after="160" w:line="276" w:lineRule="auto"/>
        <w:jc w:val="both"/>
      </w:pPr>
      <w:r>
        <w:rPr>
          <w:rFonts w:ascii="Times New Roman" w:hAnsi="Times New Roman"/>
          <w:color w:val="000000"/>
          <w:sz w:val="22"/>
        </w:rPr>
        <w:t>necessarily indicate withdrawal. An Assembly should carefully distinguish between those who are not active but still identify themselves with the faith,</w:t>
      </w:r>
    </w:p>
    <w:p>
      <w:pPr>
        <w:spacing w:before="0" w:after="160" w:line="276" w:lineRule="auto"/>
        <w:jc w:val="both"/>
      </w:pPr>
      <w:r>
        <w:rPr>
          <w:rFonts w:ascii="Times New Roman" w:hAnsi="Times New Roman"/>
          <w:color w:val="000000"/>
          <w:sz w:val="22"/>
        </w:rPr>
        <w:t>and those whose inactivity indicates complete lack of interest and a wish to</w:t>
      </w:r>
    </w:p>
    <w:p>
      <w:pPr>
        <w:spacing w:before="0" w:after="160" w:line="276" w:lineRule="auto"/>
        <w:jc w:val="both"/>
      </w:pPr>
      <w:r>
        <w:rPr>
          <w:rFonts w:ascii="Times New Roman" w:hAnsi="Times New Roman"/>
          <w:color w:val="000000"/>
          <w:sz w:val="22"/>
        </w:rPr>
        <w:t>have nothing more to do with the cause.</w:t>
      </w:r>
    </w:p>
    <w:p>
      <w:pPr>
        <w:spacing w:before="0" w:after="160" w:line="276" w:lineRule="auto"/>
        <w:jc w:val="both"/>
      </w:pPr>
      <w:r>
        <w:rPr>
          <w:rFonts w:ascii="Times New Roman" w:hAnsi="Times New Roman"/>
          <w:color w:val="000000"/>
          <w:sz w:val="22"/>
        </w:rPr>
        <w:t>once a person’s resignation from the faith has been accepted, his status</w:t>
      </w:r>
    </w:p>
    <w:p>
      <w:pPr>
        <w:spacing w:before="0" w:after="160" w:line="276" w:lineRule="auto"/>
        <w:jc w:val="both"/>
      </w:pPr>
      <w:r>
        <w:rPr>
          <w:rFonts w:ascii="Times New Roman" w:hAnsi="Times New Roman"/>
          <w:color w:val="000000"/>
          <w:sz w:val="22"/>
        </w:rPr>
        <w:t>is that of a non-b ahá’í and—except as noted below—his relationship with</w:t>
      </w:r>
    </w:p>
    <w:p>
      <w:pPr>
        <w:spacing w:before="0" w:after="160" w:line="276" w:lineRule="auto"/>
        <w:jc w:val="both"/>
      </w:pPr>
      <w:r>
        <w:rPr>
          <w:rFonts w:ascii="Times New Roman" w:hAnsi="Times New Roman"/>
          <w:color w:val="000000"/>
          <w:sz w:val="22"/>
        </w:rPr>
        <w:t>bahá’í institutions and individual believers is the same as that of any other</w:t>
      </w:r>
    </w:p>
    <w:p>
      <w:pPr>
        <w:spacing w:before="0" w:after="160" w:line="276" w:lineRule="auto"/>
        <w:jc w:val="both"/>
      </w:pPr>
      <w:r>
        <w:rPr>
          <w:rFonts w:ascii="Times New Roman" w:hAnsi="Times New Roman"/>
          <w:color w:val="000000"/>
          <w:sz w:val="22"/>
        </w:rPr>
        <w:t>non-b ahá’í. As in all human relationships, the closeness of this connection,</w:t>
      </w:r>
    </w:p>
    <w:p>
      <w:pPr>
        <w:spacing w:before="0" w:after="160" w:line="276" w:lineRule="auto"/>
        <w:jc w:val="both"/>
      </w:pPr>
      <w:r>
        <w:rPr>
          <w:rFonts w:ascii="Times New Roman" w:hAnsi="Times New Roman"/>
          <w:color w:val="000000"/>
          <w:sz w:val="22"/>
        </w:rPr>
        <w:t>and the warmth of friendship, depend upon personal factors.</w:t>
      </w:r>
    </w:p>
    <w:p>
      <w:pPr>
        <w:spacing w:before="0" w:after="160" w:line="276" w:lineRule="auto"/>
        <w:jc w:val="both"/>
      </w:pPr>
      <w:r>
        <w:rPr>
          <w:rFonts w:ascii="Times New Roman" w:hAnsi="Times New Roman"/>
          <w:color w:val="000000"/>
          <w:sz w:val="22"/>
        </w:rPr>
        <w:t>Sometimes, after a person’s withdrawal from the cause has been accept-</w:t>
      </w:r>
    </w:p>
    <w:p>
      <w:pPr>
        <w:spacing w:before="0" w:after="160" w:line="276" w:lineRule="auto"/>
        <w:jc w:val="both"/>
      </w:pPr>
      <w:r>
        <w:rPr>
          <w:rFonts w:ascii="Times New Roman" w:hAnsi="Times New Roman"/>
          <w:color w:val="000000"/>
          <w:sz w:val="22"/>
        </w:rPr>
        <w:t>ed, it becomes evident that his statements were insincere and were made</w:t>
      </w:r>
    </w:p>
    <w:p>
      <w:pPr>
        <w:spacing w:before="0" w:after="160" w:line="276" w:lineRule="auto"/>
        <w:jc w:val="both"/>
      </w:pPr>
      <w:r>
        <w:rPr>
          <w:rFonts w:ascii="Times New Roman" w:hAnsi="Times New Roman"/>
          <w:color w:val="000000"/>
          <w:sz w:val="22"/>
        </w:rPr>
        <w:t>355-4. gwb, no. 70.1.355.7</w:t>
      </w:r>
    </w:p>
    <w:p>
      <w:pPr>
        <w:spacing w:before="280" w:after="120"/>
        <w:jc w:val="left"/>
      </w:pPr>
      <w:r>
        <w:rPr>
          <w:rFonts w:ascii="Times New Roman" w:hAnsi="Times New Roman"/>
          <w:b/>
          <w:color w:val="000000"/>
          <w:sz w:val="22"/>
        </w:rPr>
        <w:t>355.8</w:t>
      </w:r>
    </w:p>
    <w:p>
      <w:pPr>
        <w:spacing w:before="280" w:after="120"/>
        <w:jc w:val="left"/>
      </w:pPr>
      <w:r>
        <w:rPr>
          <w:rFonts w:ascii="Times New Roman" w:hAnsi="Times New Roman"/>
          <w:b/>
          <w:color w:val="000000"/>
          <w:sz w:val="22"/>
        </w:rPr>
        <w:t>355.9</w:t>
      </w:r>
    </w:p>
    <w:p>
      <w:pPr>
        <w:spacing w:before="280" w:after="120"/>
        <w:jc w:val="left"/>
      </w:pPr>
      <w:r>
        <w:rPr>
          <w:rFonts w:ascii="Times New Roman" w:hAnsi="Times New Roman"/>
          <w:b/>
          <w:color w:val="000000"/>
          <w:sz w:val="22"/>
        </w:rPr>
        <w:t>355.10</w:t>
      </w:r>
    </w:p>
    <w:p>
      <w:pPr>
        <w:spacing w:before="280" w:after="120"/>
        <w:jc w:val="left"/>
      </w:pPr>
      <w:r>
        <w:rPr>
          <w:rFonts w:ascii="Times New Roman" w:hAnsi="Times New Roman"/>
          <w:b/>
          <w:color w:val="000000"/>
          <w:sz w:val="22"/>
        </w:rPr>
        <w:t>355.11</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781merely in order to evade bahá’í law. The Assembly need not take any overt</w:t>
      </w:r>
    </w:p>
    <w:p>
      <w:pPr>
        <w:spacing w:before="0" w:after="160" w:line="276" w:lineRule="auto"/>
        <w:jc w:val="both"/>
      </w:pPr>
      <w:r>
        <w:rPr>
          <w:rFonts w:ascii="Times New Roman" w:hAnsi="Times New Roman"/>
          <w:color w:val="000000"/>
          <w:sz w:val="22"/>
        </w:rPr>
        <w:t>action in such a case, but would note the matter in its records. in other</w:t>
      </w:r>
    </w:p>
    <w:p>
      <w:pPr>
        <w:spacing w:before="0" w:after="160" w:line="276" w:lineRule="auto"/>
        <w:jc w:val="both"/>
      </w:pPr>
      <w:r>
        <w:rPr>
          <w:rFonts w:ascii="Times New Roman" w:hAnsi="Times New Roman"/>
          <w:color w:val="000000"/>
          <w:sz w:val="22"/>
        </w:rPr>
        <w:t>words, it would have to be cautious about accepting a subsequent declara-</w:t>
      </w:r>
    </w:p>
    <w:p>
      <w:pPr>
        <w:spacing w:before="0" w:after="160" w:line="276" w:lineRule="auto"/>
        <w:jc w:val="both"/>
      </w:pPr>
      <w:r>
        <w:rPr>
          <w:rFonts w:ascii="Times New Roman" w:hAnsi="Times New Roman"/>
          <w:color w:val="000000"/>
          <w:sz w:val="22"/>
        </w:rPr>
        <w:t>tion of belief from this individual until satisfied that it is made in good faith. Also, depending upon the circumstances, the Assembly might require him to rectify the action, taken in violation of bahá’í law, which was the</w:t>
      </w:r>
    </w:p>
    <w:p>
      <w:pPr>
        <w:spacing w:before="0" w:after="160" w:line="276" w:lineRule="auto"/>
        <w:jc w:val="both"/>
      </w:pPr>
      <w:r>
        <w:rPr>
          <w:rFonts w:ascii="Times New Roman" w:hAnsi="Times New Roman"/>
          <w:color w:val="000000"/>
          <w:sz w:val="22"/>
        </w:rPr>
        <w:t>motive for his withdrawing from the f aith.</w:t>
      </w:r>
    </w:p>
    <w:p>
      <w:pPr>
        <w:spacing w:before="0" w:after="160" w:line="276" w:lineRule="auto"/>
        <w:jc w:val="both"/>
      </w:pPr>
      <w:r>
        <w:rPr>
          <w:rFonts w:ascii="Times New Roman" w:hAnsi="Times New Roman"/>
          <w:color w:val="000000"/>
          <w:sz w:val="22"/>
        </w:rPr>
        <w:t>An analogous situation arises when a person who is engaged in some</w:t>
      </w:r>
    </w:p>
    <w:p>
      <w:pPr>
        <w:spacing w:before="0" w:after="160" w:line="276" w:lineRule="auto"/>
        <w:jc w:val="both"/>
      </w:pPr>
      <w:r>
        <w:rPr>
          <w:rFonts w:ascii="Times New Roman" w:hAnsi="Times New Roman"/>
          <w:color w:val="000000"/>
          <w:sz w:val="22"/>
        </w:rPr>
        <w:t>activity which he suspects would result in his being declared a covenant-</w:t>
      </w:r>
    </w:p>
    <w:p>
      <w:pPr>
        <w:spacing w:before="0" w:after="160" w:line="276" w:lineRule="auto"/>
        <w:jc w:val="both"/>
      </w:pPr>
      <w:r>
        <w:rPr>
          <w:rFonts w:ascii="Times New Roman" w:hAnsi="Times New Roman"/>
          <w:color w:val="000000"/>
          <w:sz w:val="22"/>
        </w:rPr>
        <w:t>breaker withdraws from the faith under the impression that this step would</w:t>
      </w:r>
    </w:p>
    <w:p>
      <w:pPr>
        <w:spacing w:before="0" w:after="160" w:line="276" w:lineRule="auto"/>
        <w:jc w:val="both"/>
      </w:pPr>
      <w:r>
        <w:rPr>
          <w:rFonts w:ascii="Times New Roman" w:hAnsi="Times New Roman"/>
          <w:color w:val="000000"/>
          <w:sz w:val="22"/>
        </w:rPr>
        <w:t>the withdrawal provides adequate protection of the community from the individual in question. however, if he persists, following his withdrawal, in</w:t>
      </w:r>
    </w:p>
    <w:p>
      <w:pPr>
        <w:spacing w:before="0" w:after="160" w:line="276" w:lineRule="auto"/>
        <w:jc w:val="both"/>
      </w:pPr>
      <w:r>
        <w:rPr>
          <w:rFonts w:ascii="Times New Roman" w:hAnsi="Times New Roman"/>
          <w:color w:val="000000"/>
          <w:sz w:val="22"/>
        </w:rPr>
        <w:t>trying to undermine the covenant or joins forces with covenant-breakers,</w:t>
      </w:r>
    </w:p>
    <w:p>
      <w:pPr>
        <w:spacing w:before="0" w:after="160" w:line="276" w:lineRule="auto"/>
        <w:jc w:val="both"/>
      </w:pPr>
      <w:r>
        <w:rPr>
          <w:rFonts w:ascii="Times New Roman" w:hAnsi="Times New Roman"/>
          <w:color w:val="000000"/>
          <w:sz w:val="22"/>
        </w:rPr>
        <w:t>he may be judged to have broken the covenant, and the friends would be</w:t>
      </w:r>
    </w:p>
    <w:p>
      <w:pPr>
        <w:spacing w:before="0" w:after="160" w:line="276" w:lineRule="auto"/>
        <w:jc w:val="both"/>
      </w:pPr>
      <w:r>
        <w:rPr>
          <w:rFonts w:ascii="Times New Roman" w:hAnsi="Times New Roman"/>
          <w:color w:val="000000"/>
          <w:sz w:val="22"/>
        </w:rPr>
        <w:t>told to have no association with him. each such case would be considered</w:t>
      </w:r>
    </w:p>
    <w:p>
      <w:pPr>
        <w:spacing w:before="0" w:after="160" w:line="276" w:lineRule="auto"/>
        <w:jc w:val="both"/>
      </w:pPr>
      <w:r>
        <w:rPr>
          <w:rFonts w:ascii="Times New Roman" w:hAnsi="Times New Roman"/>
          <w:color w:val="000000"/>
          <w:sz w:val="22"/>
        </w:rPr>
        <w:t>in the context of its specific circumstances.</w:t>
      </w:r>
    </w:p>
    <w:p>
      <w:pPr>
        <w:spacing w:before="0" w:after="160" w:line="276" w:lineRule="auto"/>
        <w:jc w:val="both"/>
      </w:pPr>
      <w:r>
        <w:rPr>
          <w:rFonts w:ascii="Times New Roman" w:hAnsi="Times New Roman"/>
          <w:color w:val="000000"/>
          <w:sz w:val="22"/>
        </w:rPr>
        <w:t>There is one other condition which should be mentioned. There are cer-</w:t>
      </w:r>
    </w:p>
    <w:p>
      <w:pPr>
        <w:spacing w:before="0" w:after="160" w:line="276" w:lineRule="auto"/>
        <w:jc w:val="both"/>
      </w:pPr>
      <w:r>
        <w:rPr>
          <w:rFonts w:ascii="Times New Roman" w:hAnsi="Times New Roman"/>
          <w:color w:val="000000"/>
          <w:sz w:val="22"/>
        </w:rPr>
        <w:t>tain former bahá’ís whose actions do not necessarily constitute covenant-</w:t>
      </w:r>
    </w:p>
    <w:p>
      <w:pPr>
        <w:spacing w:before="0" w:after="160" w:line="276" w:lineRule="auto"/>
        <w:jc w:val="both"/>
      </w:pPr>
      <w:r>
        <w:rPr>
          <w:rFonts w:ascii="Times New Roman" w:hAnsi="Times New Roman"/>
          <w:color w:val="000000"/>
          <w:sz w:val="22"/>
        </w:rPr>
        <w:t>breaking, but are seriously destructive. where such people have shown that</w:t>
      </w:r>
    </w:p>
    <w:p>
      <w:pPr>
        <w:spacing w:before="0" w:after="160" w:line="276" w:lineRule="auto"/>
        <w:jc w:val="both"/>
      </w:pPr>
      <w:r>
        <w:rPr>
          <w:rFonts w:ascii="Times New Roman" w:hAnsi="Times New Roman"/>
          <w:color w:val="000000"/>
          <w:sz w:val="22"/>
        </w:rPr>
        <w:t>they are impervious to explanations or exhortations from the bahá’í institu-</w:t>
      </w:r>
    </w:p>
    <w:p>
      <w:pPr>
        <w:spacing w:before="0" w:after="160" w:line="276" w:lineRule="auto"/>
        <w:jc w:val="both"/>
      </w:pPr>
      <w:r>
        <w:rPr>
          <w:rFonts w:ascii="Times New Roman" w:hAnsi="Times New Roman"/>
          <w:color w:val="000000"/>
          <w:sz w:val="22"/>
        </w:rPr>
        <w:t>tions, continued association with them can be burdensome and can exert a spiritually corrosive effect on the faith of believers. in such cases the head of</w:t>
      </w:r>
    </w:p>
    <w:p>
      <w:pPr>
        <w:spacing w:before="0" w:after="160" w:line="276" w:lineRule="auto"/>
        <w:jc w:val="both"/>
      </w:pPr>
      <w:r>
        <w:rPr>
          <w:rFonts w:ascii="Times New Roman" w:hAnsi="Times New Roman"/>
          <w:color w:val="000000"/>
          <w:sz w:val="22"/>
        </w:rPr>
        <w:t>the f aith may simply advise the b ahá’ís to leave them to their own devices.</w:t>
      </w:r>
    </w:p>
    <w:p>
      <w:pPr>
        <w:spacing w:before="0" w:after="160" w:line="276" w:lineRule="auto"/>
        <w:jc w:val="both"/>
      </w:pPr>
      <w:r>
        <w:rPr>
          <w:rFonts w:ascii="Times New Roman" w:hAnsi="Times New Roman"/>
          <w:color w:val="000000"/>
          <w:sz w:val="22"/>
        </w:rPr>
        <w:t>Thus, there are exceptional cases in which a former believer’s spiritual at-</w:t>
      </w:r>
    </w:p>
    <w:p>
      <w:pPr>
        <w:spacing w:before="0" w:after="160" w:line="276" w:lineRule="auto"/>
        <w:jc w:val="both"/>
      </w:pPr>
      <w:r>
        <w:rPr>
          <w:rFonts w:ascii="Times New Roman" w:hAnsi="Times New Roman"/>
          <w:color w:val="000000"/>
          <w:sz w:val="22"/>
        </w:rPr>
        <w:t>titude to the faith may, to various degrees, create an estrangement between</w:t>
      </w:r>
    </w:p>
    <w:p>
      <w:pPr>
        <w:spacing w:before="0" w:after="160" w:line="276" w:lineRule="auto"/>
        <w:jc w:val="both"/>
      </w:pPr>
      <w:r>
        <w:rPr>
          <w:rFonts w:ascii="Times New Roman" w:hAnsi="Times New Roman"/>
          <w:color w:val="000000"/>
          <w:sz w:val="22"/>
        </w:rPr>
        <w:t>him and the bahá’ís. in general, however, a person who has withdrawn from</w:t>
      </w:r>
    </w:p>
    <w:p>
      <w:pPr>
        <w:spacing w:before="0" w:after="160" w:line="276" w:lineRule="auto"/>
        <w:jc w:val="both"/>
      </w:pPr>
      <w:r>
        <w:rPr>
          <w:rFonts w:ascii="Times New Roman" w:hAnsi="Times New Roman"/>
          <w:color w:val="000000"/>
          <w:sz w:val="22"/>
        </w:rPr>
        <w:t>the faith is regarded as being among the generality of humankind with</w:t>
      </w:r>
    </w:p>
    <w:p>
      <w:pPr>
        <w:spacing w:before="0" w:after="160" w:line="276" w:lineRule="auto"/>
        <w:jc w:val="both"/>
      </w:pPr>
      <w:r>
        <w:rPr>
          <w:rFonts w:ascii="Times New Roman" w:hAnsi="Times New Roman"/>
          <w:color w:val="000000"/>
          <w:sz w:val="22"/>
        </w:rPr>
        <w:t>whom the b ahá’ís are enjoined to associate “in joy and fragrance.”</w:t>
      </w:r>
    </w:p>
    <w:p>
      <w:pPr>
        <w:spacing w:before="0" w:after="160" w:line="276" w:lineRule="auto"/>
        <w:jc w:val="both"/>
      </w:pPr>
      <w:r>
        <w:rPr>
          <w:rFonts w:ascii="Times New Roman" w:hAnsi="Times New Roman"/>
          <w:color w:val="000000"/>
          <w:sz w:val="22"/>
        </w:rPr>
        <w:t>with loving b ahá’í greetings,</w:t>
      </w:r>
    </w:p>
    <w:p>
      <w:pPr>
        <w:spacing w:before="280" w:after="120"/>
        <w:jc w:val="left"/>
      </w:pPr>
      <w:r>
        <w:rPr>
          <w:rFonts w:ascii="Times New Roman" w:hAnsi="Times New Roman"/>
          <w:b/>
          <w:color w:val="000000"/>
          <w:sz w:val="22"/>
        </w:rPr>
        <w:t>355.13</w:t>
      </w:r>
    </w:p>
    <w:p>
      <w:pPr>
        <w:spacing w:before="280" w:after="120"/>
        <w:jc w:val="left"/>
      </w:pPr>
      <w:r>
        <w:rPr>
          <w:rFonts w:ascii="Times New Roman" w:hAnsi="Times New Roman"/>
          <w:b/>
          <w:color w:val="000000"/>
          <w:sz w:val="22"/>
        </w:rPr>
        <w:t>355.14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782356</w:t>
      </w:r>
    </w:p>
    <w:p>
      <w:pPr>
        <w:spacing w:before="0" w:after="160" w:line="276" w:lineRule="auto"/>
        <w:jc w:val="both"/>
      </w:pPr>
      <w:r>
        <w:rPr>
          <w:rFonts w:ascii="Times New Roman" w:hAnsi="Times New Roman"/>
          <w:color w:val="000000"/>
          <w:sz w:val="22"/>
        </w:rPr>
        <w:t>The Lesser Peace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Assembliesdear b aháí f</dc:title>
  <dc:subject>Bahá'í Guidance (2001-04-04)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