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19 June 2001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asked us to inform you that a few days before the inaugural events associated with the official` opening of the Terraces of the Shrine of the Báb, a monument was raised over the resting place of the Hand of the Cause of God Amatu’l-Bahá Rúḥíyyih Khánum opposite the House of the Master in Haifa. Landscaping work is being carried out in the surrounding garden.</w:t>
      </w:r>
    </w:p>
    <w:p>
      <w:pPr>
        <w:spacing w:before="0" w:after="160" w:line="276" w:lineRule="auto"/>
        <w:jc w:val="both"/>
      </w:pPr>
      <w:r>
        <w:rPr>
          <w:rFonts w:ascii="Times New Roman" w:hAnsi="Times New Roman"/>
          <w:color w:val="000000"/>
          <w:sz w:val="22"/>
        </w:rPr>
        <w:t>The monument, commissioned by the House of Justice and designed by Mr. Hossein Amanat, is depicted on the enclosed photograph. The friends, holding such affection and devotion for beloved Rúḥíyyih Khánum, will no doubt be delighted to learn of this achievement.</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Monument over the Resting Place of Amatu’l-Bahá Rúḥíyyih Khánum</dc:title>
  <dc:subject>Bahá'í Message #5 (19 June 2001)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