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10 February 2002</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In its message dated 10 January 2002 to the Bahá’ís of the world raising the pioneer call for the Five Year Plan, the Universal House of Justice referred to the document prepared by the International Teaching Centre describing the conditions of national Bahá’í communities and the endeavours that could benefit from outside assistance. We are pleased to provide you with a copy of that document. Also enclosed is the list of countries and territories in need of pioneers and travelling teachers, which are sorted into four categories that reflect the exigencies of the Bahá’í world today.</w:t>
      </w:r>
    </w:p>
    <w:p>
      <w:pPr>
        <w:spacing w:before="0" w:after="160" w:line="276" w:lineRule="auto"/>
        <w:jc w:val="both"/>
      </w:pPr>
      <w:r>
        <w:rPr>
          <w:rFonts w:ascii="Times New Roman" w:hAnsi="Times New Roman"/>
          <w:color w:val="000000"/>
          <w:sz w:val="22"/>
        </w:rPr>
        <w:t>The House of Justice hopes that this material will aid those who respond to the call in deciding where they can best serve the Faith. You are encouraged to make it available to the friends in your communities through your national and regional agencies.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Countries and Territories in Need of Pioneers and Travelling Teachers</dc:title>
  <dc:subject>Bahá'í Message #20 (10 February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