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November 2002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Conscious of the increasing burden of advancing years and the effect of this on the services they can render, Mr. Hushmand Fatheazam and Mr. ‘Alí Nakhjavání have, after prayerful consideration of the best interests of the Cause of God, requested permission to relinquish their membership on the Universal House of Justice in accordance with Article V.2.(c) of its Constitution.</w:t>
      </w:r>
    </w:p>
    <w:p>
      <w:pPr>
        <w:spacing w:before="0" w:after="160" w:line="276" w:lineRule="auto"/>
        <w:jc w:val="both"/>
      </w:pPr>
      <w:r>
        <w:rPr>
          <w:rFonts w:ascii="Times New Roman" w:hAnsi="Times New Roman"/>
          <w:color w:val="000000"/>
          <w:sz w:val="22"/>
        </w:rPr>
        <w:t>The House of Justice has regretfully accepted the resignation of these beloved members, who have rendered highly valued services in the Holy Land, since 1961 in Mr. Nakhjavání’s case, and since 1963 in that of Mr. Fatheazam. They will thus be able to continue their services to the Cause of God free from the inexorable pressure of work at the World Centre. In view, however, of the imminence of the next international election, we have requested them to remain in office until that time, and to this they have readily agreed.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from Service of Two Members of the Universal House of Justice</dc:title>
  <dc:subject>Bahá'í Message #30 (11 November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