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April 2003</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Enclosed is a copy of a document entitled “Building Momentum: A Coherent Approach to Growth”, prepared by the International Teaching Centre at the request of the Universal House of Justice for distribution at the Ninth International Bahá’í Convention. The House of Justice commends the document to your study, confident that it will become an invaluable resource to you in your ongoing consultations with the Counsellors.</w:t>
      </w:r>
    </w:p>
    <w:p>
      <w:pPr>
        <w:spacing w:before="0" w:after="160" w:line="276" w:lineRule="auto"/>
        <w:jc w:val="both"/>
      </w:pPr>
      <w:r>
        <w:rPr>
          <w:rFonts w:ascii="Times New Roman" w:hAnsi="Times New Roman"/>
          <w:color w:val="000000"/>
          <w:sz w:val="22"/>
        </w:rPr>
        <w:t>From time to time, since the beginning of the Four Year Plan, effort has been made to</w:t>
      </w:r>
    </w:p>
    <w:p>
      <w:pPr>
        <w:spacing w:before="0" w:after="160" w:line="276" w:lineRule="auto"/>
        <w:jc w:val="both"/>
      </w:pPr>
      <w:r>
        <w:rPr>
          <w:rFonts w:ascii="Times New Roman" w:hAnsi="Times New Roman"/>
          <w:color w:val="000000"/>
          <w:sz w:val="22"/>
        </w:rPr>
        <w:t>summarize in documents made widely available to the friends the experience of the Bahá’í world in advancing the process of entry by troops and to frame it within the guidance of the Universal House of Justice as expressed in its letters and messages to individuals and institutions. The first of these documents, entitled “Training Institutes”, was released by the House of Justice at the International Convention in April 1998. The second, prepared by the Teaching Centre at the instruction of the House of Justice in February 2000, was entitled “Training Institutes and Systematic Growth”. The present document should be considered the next of this kind. Using the 17 January message of the House of Justice regarding the Five Year Plan as a starting point, it elaborates with specific examples and in greater detail the broad vision contained in that message. It is the result of the Teaching Centre’s careful analysis of both the guidance of the House of</w:t>
      </w:r>
    </w:p>
    <w:p>
      <w:pPr>
        <w:spacing w:before="0" w:after="160" w:line="276" w:lineRule="auto"/>
        <w:jc w:val="both"/>
      </w:pPr>
      <w:r>
        <w:rPr>
          <w:rFonts w:ascii="Times New Roman" w:hAnsi="Times New Roman"/>
          <w:color w:val="000000"/>
          <w:sz w:val="22"/>
        </w:rPr>
        <w:t>Justice and the methods and approaches employed by the friends in every part of the globe in meeting the requirements of the Plan.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“Building Momentum” Document</dc:title>
  <dc:subject>Bahá'í Message #37 (27 April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