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5 May 2003</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At the request of the Universal House of Justice, we are sending to each National Spiritual Assembly ten copies of the brochure prepared by the Office of Social and Economic Development entitled “For the Betterment of the World”. The brochure was to have been made available to delegates at the Ninth International Bahá’í Convention. National Assemblies may distribute and utilize the enclosed copies as they deem best.</w:t>
      </w:r>
    </w:p>
    <w:p>
      <w:pPr>
        <w:spacing w:before="0" w:after="160" w:line="276" w:lineRule="auto"/>
        <w:jc w:val="both"/>
      </w:pPr>
      <w:r>
        <w:rPr>
          <w:rFonts w:ascii="Times New Roman" w:hAnsi="Times New Roman"/>
          <w:color w:val="000000"/>
          <w:sz w:val="22"/>
        </w:rPr>
        <w:t>Since the inception of the Office of Social and Economic Development at the World Centre nearly twenty years ago, great progress has been made in this area of endeavour in all parts of the globe. The brochure offers an overview of the current approach to Bahá’í social and economic development worldwide and describes how basic concepts and strategies are being applied at different levels of complexity. It will no doubt prove useful in stimulating learning among the friends about development principles and practice from a Bahá’í perspective and in raising the general public’s awareness of the steadily evolving work Bahá’í communities and individual believers are performing in service to humanity.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Publication “For the Betterment of the World”</dc:title>
  <dc:subject>Bahá'í Message #39 (5 May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