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April 2004</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Our hearts are heavy with sorrow at the passing, in his ninety-fifth year, of dearly loved, devoted promoter of the Cause Aziz Ismayn Yazdi. His life was characterized by an imperishable record of selfless service, steadfast action and instant obedience. From his earliest days in Egypt, and inspired by his association with the beloved Master in Haifa during his youth, he dedicated himself to the advancement of the Cause as a self-sacrificing pioneer and an outstanding teacher and administrator in various lands. Subsequent to his efforts in the United Kingdom, Iraq and Iran, he responded to the Guardian’s call for pioneers to Africa and moved with his family to Kenya in 1951, where his consecrated endeavours included membership on the National Spiritual Assembly of Central and East Africa and later of Kenya, the Auxiliary Board in Africa, and then the Continental Board of Counsellors in Central and East Africa. Following his appointment to the newly formed International Teaching Centre in 1973, he relocated to the Holy Land where his invaluable services became worldwide in scope. Upon his retirement in 1988 he undertook tireless travels, teaching the Cause and inspiring the believers in various communities throughout the globe to the last reserves of his strength.</w:t>
      </w:r>
    </w:p>
    <w:p>
      <w:pPr>
        <w:spacing w:before="0" w:after="160" w:line="276" w:lineRule="auto"/>
        <w:jc w:val="both"/>
      </w:pPr>
      <w:r>
        <w:rPr>
          <w:rFonts w:ascii="Times New Roman" w:hAnsi="Times New Roman"/>
          <w:color w:val="000000"/>
          <w:sz w:val="22"/>
        </w:rPr>
        <w:t>With assured hearts we are offering ardent prayers at the Sacred Threshold that his illumined soul may be richly rewarded in the Abhá Kingdom, that he may be joyously reunited with his beloved wife, Soraya, and that the hearts of his family members may be solaced.</w:t>
      </w:r>
    </w:p>
    <w:p>
      <w:pPr>
        <w:spacing w:before="0" w:after="160" w:line="276" w:lineRule="auto"/>
        <w:jc w:val="both"/>
      </w:pPr>
      <w:r>
        <w:rPr>
          <w:rFonts w:ascii="Times New Roman" w:hAnsi="Times New Roman"/>
          <w:color w:val="000000"/>
          <w:sz w:val="22"/>
        </w:rPr>
        <w:t>National Spiritual Assemblies are advised to hold befitting memorial gatherings in his honour in all Houses of Worship and in Bahá’í communities throughout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Aziz Yazdi, Former Member of the International Teaching Centre</dc:title>
  <dc:subject>Bahá'í Message #49 (22 April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