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29 June 2004</w:t>
      </w:r>
    </w:p>
    <w:p>
      <w:pPr>
        <w:spacing w:before="0" w:after="360"/>
        <w:jc w:val="left"/>
      </w:pPr>
      <w:r>
        <w:rPr>
          <w:rFonts w:ascii="Times New Roman" w:hAnsi="Times New Roman"/>
          <w:color w:val="000000"/>
          <w:sz w:val="22"/>
        </w:rPr>
        <w:t>To the National Spiritual Assembly</w:t>
      </w:r>
    </w:p>
    <w:p>
      <w:pPr>
        <w:spacing w:before="0" w:after="160" w:line="276" w:lineRule="auto"/>
        <w:jc w:val="both"/>
      </w:pPr>
      <w:r>
        <w:rPr>
          <w:rFonts w:ascii="Times New Roman" w:hAnsi="Times New Roman"/>
          <w:color w:val="000000"/>
          <w:sz w:val="22"/>
        </w:rPr>
        <w:t>of the Bahá’ís of Australia</w:t>
      </w:r>
    </w:p>
    <w:p>
      <w:pPr>
        <w:spacing w:before="0" w:after="160" w:line="276" w:lineRule="auto"/>
        <w:jc w:val="both"/>
      </w:pPr>
      <w:r>
        <w:rPr>
          <w:rFonts w:ascii="Times New Roman" w:hAnsi="Times New Roman"/>
          <w:color w:val="000000"/>
          <w:sz w:val="22"/>
        </w:rPr>
        <w:t>We are grieved at the passing of Gloria Faizi who rendered outstanding services to the Cause of Bahá’u’lláh throughout her life. Her distinguished record of accomplishment includes a number of books translated into many languages which have proved most valuable in attracting inquirers to the Faith and in conveying a deeper understanding of the Bahá’í teachings. We remember also with appreciation her many contributions to the progress of the Bahá’í communities, including her pioneering in Bahrain with her illustrious husband, her work at the Bahá’í World Centre, and her devoted travels far and wide as a teacher of the Cause.</w:t>
      </w:r>
    </w:p>
    <w:p>
      <w:pPr>
        <w:spacing w:before="0" w:after="160" w:line="276" w:lineRule="auto"/>
        <w:jc w:val="both"/>
      </w:pPr>
      <w:r>
        <w:rPr>
          <w:rFonts w:ascii="Times New Roman" w:hAnsi="Times New Roman"/>
          <w:color w:val="000000"/>
          <w:sz w:val="22"/>
        </w:rPr>
        <w:t>Kindly convey to the members of her family and to her friends our condolences and the assurance of our prayers at the Sacred Threshold for the progress of her soul in the world beyond.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Gloria Faizi</dc:title>
  <dc:subject>Bahá'í Message #51 (29 June 2004)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