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Naw-Rúz 2005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have been asked to forward to you a copy of the enclosed publication One Common Faith, produced at the request and under the supervision of the Universal House of Justice.</w:t>
      </w:r>
    </w:p>
    <w:p>
      <w:pPr>
        <w:spacing w:before="0" w:after="160" w:line="276" w:lineRule="auto"/>
        <w:jc w:val="both"/>
      </w:pPr>
      <w:r>
        <w:rPr>
          <w:rFonts w:ascii="Times New Roman" w:hAnsi="Times New Roman"/>
          <w:color w:val="000000"/>
          <w:sz w:val="22"/>
        </w:rPr>
        <w:t>Your Assembly is asked to arrange to make the document available to the members of your national community, translating it into other languages, as required. In the case of French and Spanish, the Bahá’í World Centre is arranging for the translations to be done and supplied to the National Assemblies concerned. For your information, the quotation referred to in the foreword of the publication can be found in Gleanings from the Writings of Bahá’u’lláh, section CXXXII.</w:t>
      </w:r>
    </w:p>
    <w:p>
      <w:pPr>
        <w:spacing w:before="0" w:after="160" w:line="276" w:lineRule="auto"/>
        <w:jc w:val="both"/>
      </w:pPr>
      <w:r>
        <w:rPr>
          <w:rFonts w:ascii="Times New Roman" w:hAnsi="Times New Roman"/>
          <w:color w:val="000000"/>
          <w:sz w:val="22"/>
        </w:rPr>
        <w:t>Believers are free to share the document, on an individual basis, with their families, friends and associates who they believe would find it interesting. One Common Faith has, however, been prepared as a resource for Bahá’í study and should not be used in a public information programme or for distribution to religious leaders or the media.</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of One Common Faith</dc:title>
  <dc:subject>Bahá'í Message #56 (Naw-Rúz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