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16 June 2005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Opportunities to spread the teachings of Bahá’u’lláh and to make known to society at large the activities of the Bahá’í community have grown markedly in recent years, especially with the rise in use of computer technology. Following consultations with the International Teaching Centre, the Universal House of Justice has decided to create an international Bahá’í Internet Agency to assist the Counsellors and National Spiritual Assemblies in addressing certain issues associated with the propagation and protection of the Faith as they pertain to the Internet. Operating under the direct supervision of the Teaching Centre, the agency is based in the United States, where it has established an office with a full-time director.</w:t>
      </w:r>
    </w:p>
    <w:p>
      <w:pPr>
        <w:spacing w:before="0" w:after="160" w:line="276" w:lineRule="auto"/>
        <w:jc w:val="both"/>
      </w:pPr>
      <w:r>
        <w:rPr>
          <w:rFonts w:ascii="Times New Roman" w:hAnsi="Times New Roman"/>
          <w:color w:val="000000"/>
          <w:sz w:val="22"/>
        </w:rPr>
        <w:t>In the months ahead, after preliminary preparations have been made, the Bahá’í Internet Agency will contact National Assemblies and provide information about the services it can offer. The Bahá’í Computer and Communications Association (BCCA) and the Security Advisory Group, which have over the years extended technical and Internet-related support to national communities worldwide, will continue to make a valuable contribution to this area of endeavour, functioning now under the direction of the agency.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Creation of the Bahá’í Internet Agency</dc:title>
  <dc:subject>Bahá'í Message #62 (16 June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