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20 November 2005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asked us to announce that the three-person International Board of Trustees of Ḥuqúqu’lláh, announced in its message of Riḍván 2005, is assuming full responsibility for the work of the institution of the Right of God, including supervision of the work of Regional and National Boards of Trustees of Ḥuqúqu’lláh throughout the world and of the Office of Ḥuqúqu’lláh in the Holy Land, effective on 26 November 2005.</w:t>
      </w:r>
    </w:p>
    <w:p>
      <w:pPr>
        <w:spacing w:before="0" w:after="160" w:line="276" w:lineRule="auto"/>
        <w:jc w:val="both"/>
      </w:pPr>
      <w:r>
        <w:rPr>
          <w:rFonts w:ascii="Times New Roman" w:hAnsi="Times New Roman"/>
          <w:color w:val="000000"/>
          <w:sz w:val="22"/>
        </w:rPr>
        <w:t>The Hand of the Cause of God ‘Alí-Muḥammad Varqá remains Chief Trustee of Ḥuqúqu’lláh and will continue to provide advice and counsel to the International Board of Trustees as the development of this mighty institution proceeds throughout the world.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Board of Trustees of Ḥuqúqu’lláh Assumes Full Responsibility for the Institution of the Right of God</dc:title>
  <dc:subject>Bahá'í Message #68 (20 November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