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20 July 2006</w:t>
      </w:r>
    </w:p>
    <w:p>
      <w:pPr>
        <w:spacing w:before="0" w:after="360"/>
        <w:jc w:val="left"/>
      </w:pPr>
      <w:r>
        <w:rPr>
          <w:rFonts w:ascii="Times New Roman" w:hAnsi="Times New Roman"/>
          <w:color w:val="000000"/>
          <w:sz w:val="22"/>
        </w:rPr>
        <w:t>To the National Spiritual Assembly of the Bahá’ís of the United States</w:t>
      </w:r>
    </w:p>
    <w:p>
      <w:pPr>
        <w:spacing w:before="0" w:after="160" w:line="276" w:lineRule="auto"/>
        <w:jc w:val="both"/>
      </w:pPr>
      <w:r>
        <w:rPr>
          <w:rFonts w:ascii="Times New Roman" w:hAnsi="Times New Roman"/>
          <w:color w:val="000000"/>
          <w:sz w:val="22"/>
        </w:rPr>
        <w:t>We are moved by a deep sense of loss in the passing of Marguerite Sears. Her more than six decades of outstanding, tireless endeavor in promotion of the Cause of God were impelled by a flame of faith that warmed countless hearts in various parts of the world. Among the efforts that distinguished her record of service, two highlight the intensity of her exemplary dedication: one on the American home front when, encouraged and accompanied by her then non-Bahá’í spouse, she went to Utah in response to the beloved Guardian’s call for “nine holy souls” to settle in one of nine states that were yet unopened to the Faith; the other, in South Africa, where she and her much-loved companion, now a believer later to be elevated to the rank of Hand of the Cause of God, established residence as the first pioneers to that country during the Ten Year Crusade. We recall with abiding appreciation her contributions to the work in the Holy Land for the period he served as one of the Custodians of the Faith at its World Centre, her extensive teaching trips and her valuable assistance to Bahá’í communities in numerous lands.</w:t>
      </w:r>
    </w:p>
    <w:p>
      <w:pPr>
        <w:spacing w:before="0" w:after="160" w:line="276" w:lineRule="auto"/>
        <w:jc w:val="both"/>
      </w:pPr>
      <w:r>
        <w:rPr>
          <w:rFonts w:ascii="Times New Roman" w:hAnsi="Times New Roman"/>
          <w:color w:val="000000"/>
          <w:sz w:val="22"/>
        </w:rPr>
        <w:t>Kindly convey to the members of her dear family and bereaved friends our heartfelt condolences and assure them of our ardent supplications at the Sacred Threshold that her illumined soul may be rewarded with joyous progress throughout the divine worlds.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Passing of Marguerite Sears</dc:title>
  <dc:subject>Bahá'í Message #81 (20 July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