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February 2007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At the request of the Universal House of Justice, we enclose three complimentary copies of The Five Year Plan, 2001–2006: Summary of Achievements and Learning, prepared under the supervision of the International Teaching Centre. While this work describes many of the Bahá’í community’s activities in the areas of social and economic development, external affairs, and achievements at the Bahá’í World Centre, its primary focus is on advances made in promoting the central aim of the recent Five Year Plan through the concerted efforts of the three participants—the individual, the community and the institutions. Through careful reading, one may gain an appreciation of the progress made to date and be inspired to meet the opportunities that lie ahead….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Achievements and Learning for the Five Year Plan, 2001–2006</dc:title>
  <dc:subject>Bahá'í Message #85 (19 February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