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July 2007</w:t>
      </w:r>
    </w:p>
    <w:p>
      <w:pPr>
        <w:spacing w:before="0" w:after="360"/>
        <w:jc w:val="left"/>
      </w:pPr>
      <w:r>
        <w:rPr>
          <w:rFonts w:ascii="Times New Roman" w:hAnsi="Times New Roman"/>
          <w:color w:val="000000"/>
          <w:sz w:val="22"/>
        </w:rPr>
        <w:t>To the National Spiritual Assembly of the Bahá’ís of the United States</w:t>
      </w:r>
    </w:p>
    <w:p>
      <w:pPr>
        <w:spacing w:before="0" w:after="160" w:line="276" w:lineRule="auto"/>
        <w:jc w:val="both"/>
      </w:pPr>
      <w:r>
        <w:rPr>
          <w:rFonts w:ascii="Times New Roman" w:hAnsi="Times New Roman"/>
          <w:color w:val="000000"/>
          <w:sz w:val="22"/>
        </w:rPr>
        <w:t>We deeply sympathize in the great loss to your community of dearly loved Javidukht Khadem. This stalwart, ever-buoyant handmaiden of Bahá’u’lláh, so gifted with a winning personality and a generosity of spirit, drew on an irrepressible energy that sustained her manifold efforts in service to the Cause of God—as mother of five children, as Auxiliary Board member for thirty-six years, as author of a biography of her esteemed husband—but especially that charged her indomitable passion for teaching, which extended through some four decades of regular firesides in her home. Kindly convey our heartfelt condolences to the members of her dear family, and be assured of our ardent prayers in the Holy Shrines that her soul may attain to ineffable joy in the Abhá Kingdom.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Javidukht Khadem</dc:title>
  <dc:subject>Bahá'í Message #91 (2 July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