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27 July 2007</w:t>
      </w:r>
    </w:p>
    <w:p>
      <w:pPr>
        <w:spacing w:before="0" w:after="160" w:line="276" w:lineRule="auto"/>
        <w:jc w:val="both"/>
      </w:pPr>
      <w:r>
        <w:rPr>
          <w:rFonts w:ascii="Times New Roman" w:hAnsi="Times New Roman"/>
          <w:color w:val="000000"/>
          <w:sz w:val="22"/>
        </w:rPr>
        <w:t>The National Spiritual Assembly</w:t>
        <w:br/>
        <w:t xml:space="preserve">    of the Bahá’ís of Pakistan</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Kindly extend our joyful greetings to all those gathered at the National Bahá’í Youth Conference taking place in Islamabad this weekend. As these precious youth consider over the coming days their experiences and aspirations, we hope that they will keep at the forefront of their deliberations the pressing requirements of the Five Year Plan, as its realization will depend, in no small measure, on their wholehearted and sacrificial participation. May the proceedings of this conference fan the flame of faith in each of their hearts, revitalizing their commitment to ensuring that the advancement in the process of entry by troops called for by the Plan is achieved in Pakistan. As they march valiantly into the field as individuals, as members of local communities, and as the vanguard of an entire generation in your country, they may rest assured of our loving prayers in support of their present and future services to the Cause of God.</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 to the National Bahá’í Youth Conference in Islamabad</dc:title>
  <dc:subject>Bahá'í Message #92 (27 July 2007)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