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13 November 2007</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We announce with deep regret that the Universal House of Justice has decided, in accordance with provisions of Article V.2.(c) of its Constitution, to give permission to Mr. Hartmut Grossmann and Mr. Glenford E. Mitchell, who have rendered highly valued services in the Holy Land since 1988 and 1982, respectively, to relinquish their membership on the House of Justice.</w:t>
      </w:r>
    </w:p>
    <w:p>
      <w:pPr>
        <w:spacing w:before="0" w:after="160" w:line="276" w:lineRule="auto"/>
        <w:jc w:val="both"/>
      </w:pPr>
      <w:r>
        <w:rPr>
          <w:rFonts w:ascii="Times New Roman" w:hAnsi="Times New Roman"/>
          <w:color w:val="000000"/>
          <w:sz w:val="22"/>
        </w:rPr>
        <w:t>They will continue to serve on the institution until the date of the completion of the election of the Universal House of Justice at the Tenth International Bahá’í Convention to be held at Riḍván 2008.</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from Service of Two Members of the Universal House of Justice</dc:title>
  <dc:subject>Bahá'í Message #97 (13 November 2007)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