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7 April 2008</w:t>
      </w:r>
    </w:p>
    <w:p>
      <w:pPr>
        <w:spacing w:before="0" w:after="160" w:line="276" w:lineRule="auto"/>
        <w:jc w:val="both"/>
      </w:pPr>
      <w:r>
        <w:rPr>
          <w:rFonts w:ascii="Times New Roman" w:hAnsi="Times New Roman"/>
          <w:color w:val="000000"/>
          <w:sz w:val="22"/>
        </w:rPr>
        <w:t>The Friends in Iran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letter to you of 18 February 2008 concerning the Guardianship and the Universal House of Justice, we have been requested to provide the comments below on a related matter….</w:t>
      </w:r>
    </w:p>
    <w:p>
      <w:pPr>
        <w:spacing w:before="0" w:after="160" w:line="276" w:lineRule="auto"/>
        <w:jc w:val="both"/>
      </w:pPr>
      <w:r>
        <w:rPr>
          <w:rFonts w:ascii="Times New Roman" w:hAnsi="Times New Roman"/>
          <w:color w:val="000000"/>
          <w:sz w:val="22"/>
        </w:rPr>
        <w:t>In general, the House of Justice wishes to preserve the widest possible latitude for the friends to explore the Revelation of Bahá’u’lláh and to share their individual understanding of the Teachings. Yet it must be remembered that, with regard to deductions drawn from the Texts, the Master clearly states:</w:t>
      </w:r>
    </w:p>
    <w:p>
      <w:pPr>
        <w:spacing w:before="0" w:after="160" w:line="276" w:lineRule="auto"/>
        <w:jc w:val="both"/>
      </w:pPr>
      <w:r>
        <w:rPr>
          <w:rFonts w:ascii="Times New Roman" w:hAnsi="Times New Roman"/>
          <w:color w:val="000000"/>
          <w:sz w:val="22"/>
        </w:rPr>
        <w:t>… the deductions and conclusions of individual learned men have no authority, unless they are endorsed by the House of Justice. The difference is precisely this, that from the conclusions and endorsements of the body of the House of Justice whose members are elected by and known to the worldwide Bahá’í community, no differences will arise; whereas the conclusions of individual divines and scholars would definitely lead to differences, and result in schism, division, and dispersion. The oneness of the Word would be destroyed, the unity of the Faith would disappear, and the edifice of the Faith of God would be shaken.</w:t>
      </w:r>
    </w:p>
    <w:p>
      <w:pPr>
        <w:spacing w:before="0" w:after="160" w:line="276" w:lineRule="auto"/>
        <w:jc w:val="both"/>
      </w:pPr>
      <w:r>
        <w:rPr>
          <w:rFonts w:ascii="Times New Roman" w:hAnsi="Times New Roman"/>
          <w:color w:val="000000"/>
          <w:sz w:val="22"/>
        </w:rPr>
        <w:t>The Universal House of Justice does not intend at this time to elaborate further on previous explanations given of its duties and powers. That the House of Justice itself does not find it necessary to do so should alert the friends as to the unwisdom of their attempting to define so precisely its sphere of action. Nevertheless, it should be mentioned that, while there are explicit passages in the authoritative texts that make reference to the infallibility of the House of Justice in the enactment of legislation, the argument that it is free from error only in this respect is untenable. Surely, the many emphatic statements found in the Writings, such as the following excerpt from the Will and Testament of ‘Abdu’l-Bahá, should suffice to dismiss any claims of this kind:</w:t>
      </w:r>
    </w:p>
    <w:p>
      <w:pPr>
        <w:spacing w:before="0" w:after="160" w:line="276" w:lineRule="auto"/>
        <w:jc w:val="both"/>
      </w:pPr>
      <w:r>
        <w:rPr>
          <w:rFonts w:ascii="Times New Roman" w:hAnsi="Times New Roman"/>
          <w:color w:val="000000"/>
          <w:sz w:val="22"/>
        </w:rPr>
        <w:t>The sacred and youthful branch, the guardian of the Cause of God as well as the Universal House of Justice, to be universally elected and established, are both under the care and protection of the Abhá Beauty, under the shelter and unerring guidance of His Holiness, the Exalted One (may my life be offered up for them both). Whatsoever they decide is of God. Whoso obeyeth him not, neither obeyeth them, hath not obeyed God; whoso rebelleth against him and against them hath rebelled against God; whoso opposeth him hath opposed God; whoso contendeth with them hath contended with God….</w:t>
      </w:r>
    </w:p>
    <w:p>
      <w:pPr>
        <w:spacing w:before="0" w:after="160" w:line="276" w:lineRule="auto"/>
        <w:jc w:val="both"/>
      </w:pPr>
      <w:r>
        <w:rPr>
          <w:rFonts w:ascii="Times New Roman" w:hAnsi="Times New Roman"/>
          <w:color w:val="000000"/>
          <w:sz w:val="22"/>
        </w:rPr>
        <w:t>Apart from the question of infallibility, there is the matter of authority. A letter written on behalf of Shoghi Effendi states: “It is not for individual believers to limit the sphere of the Guardian’s authority, or to judge when they have to obey the Guardian and when they are free to reject his judgement. Such an attitude would evidently lead to confusion and to schism.” In regard to the Universal House of Justice, the same understanding applies.</w:t>
      </w:r>
    </w:p>
    <w:p>
      <w:pPr>
        <w:spacing w:before="0" w:after="160" w:line="276" w:lineRule="auto"/>
        <w:jc w:val="both"/>
      </w:pPr>
      <w:r>
        <w:rPr>
          <w:rFonts w:ascii="Times New Roman" w:hAnsi="Times New Roman"/>
          <w:color w:val="000000"/>
          <w:sz w:val="22"/>
        </w:rPr>
        <w:t>Infallibility is a profound spiritual concept inherent in the Bahá’í Writings. In meditating upon the relevant passages, the believers will naturally reach their own understanding of the subject. Individual opinions, however, should not be imposed on others, nor so promoted as to crystallize into doctrines not found in the explicit Text. When exchanging views about the Universal House of Justice—the body to which all things must be referred—the friends should exercise care lest they go to extremes, by either diminishing its station or assigning to it exaggerated attributes. What better admonition to heed in a matter of this nature than that given by the beloved Master, when some believers fell into disagreement about His own station:</w:t>
      </w:r>
    </w:p>
    <w:p>
      <w:pPr>
        <w:spacing w:before="0" w:after="160" w:line="276" w:lineRule="auto"/>
        <w:jc w:val="both"/>
      </w:pPr>
      <w:r>
        <w:rPr>
          <w:rFonts w:ascii="Times New Roman" w:hAnsi="Times New Roman"/>
          <w:color w:val="000000"/>
          <w:sz w:val="22"/>
        </w:rPr>
        <w:t>These discussions will yield no result or benefit: we must set all such debates and controversies entirely aside—nay, we must consign them to oblivion and arise to accomplish that which is enjoined and required in this Day. These debates are mere words bereft of inner meaning; they are mere illusions and not reality.</w:t>
      </w:r>
    </w:p>
    <w:p>
      <w:pPr>
        <w:spacing w:before="0" w:after="160" w:line="276" w:lineRule="auto"/>
        <w:jc w:val="both"/>
      </w:pPr>
      <w:r>
        <w:rPr>
          <w:rFonts w:ascii="Times New Roman" w:hAnsi="Times New Roman"/>
          <w:color w:val="000000"/>
          <w:sz w:val="22"/>
        </w:rPr>
        <w:t>That which is true and real is this: that we become united and agreed in our purpose and arise to flood this darksome world with light, to banish enmity and foreignness from among the children of men, to perfume and revive the world with the sanctified breezes of the character and conduct of the Abhá Beauty, to cast the light of divine guidance upon East and West, to raise the tabernacle of the love of God and gather all people under its sheltering shadow, to confer peace and composure upon every soul beneath the shade of the blessed Tree, to show forth such love as to astonish the enemy, to turn ravenous and bloodthirsty wolves into the gazelles of the meadows of the love of God, to cause the oppressor to taste the sweet savour of meekness, to teach them that kill the submission and acquiescence of those that suffer themselves to be killed, to spread abroad the verses of the one true God, to extol the virtues and perfections of the all-glorious Lord, to raise to the highest heaven the cry of “O Thou the Glory of Glories!”, and to cause the call of “The earth will shine with the light of her Lord!” to reach the ears of the denizens of His Kingdom.</w:t>
      </w:r>
    </w:p>
    <w:p>
      <w:pPr>
        <w:spacing w:before="0" w:after="160" w:line="276" w:lineRule="auto"/>
        <w:jc w:val="both"/>
      </w:pPr>
      <w:r>
        <w:rPr>
          <w:rFonts w:ascii="Times New Roman" w:hAnsi="Times New Roman"/>
          <w:color w:val="000000"/>
          <w:sz w:val="22"/>
        </w:rPr>
        <w:t>The House of Justice appeals to the friends not to become embroiled in the kind of fruitless theological discussions that caused conflict and contention in past dispensations, lest they lose sight of their responsibility to promulgate the oneness of humanity and of the role of the Covenant established by Bahá’u’lláh in uniting minds, hearts, and souls.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Conferred Infallibility and the Universal House of Justice</dc:title>
  <dc:subject>Bahá'í Message #102 (7 April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