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7 January 2009</w:t>
      </w:r>
    </w:p>
    <w:p>
      <w:pPr>
        <w:spacing w:before="0" w:after="360"/>
        <w:jc w:val="left"/>
      </w:pPr>
      <w:r>
        <w:rPr>
          <w:rFonts w:ascii="Times New Roman" w:hAnsi="Times New Roman"/>
          <w:color w:val="000000"/>
          <w:sz w:val="22"/>
        </w:rPr>
        <w:t>To the Friends Gathered on the Occasion of the Seventy-fifth Anniversary of the Faith in Ethiopia</w:t>
      </w:r>
    </w:p>
    <w:p>
      <w:pPr>
        <w:spacing w:before="0" w:after="160" w:line="276" w:lineRule="auto"/>
        <w:jc w:val="both"/>
      </w:pPr>
      <w:r>
        <w:rPr>
          <w:rFonts w:ascii="Times New Roman" w:hAnsi="Times New Roman"/>
          <w:color w:val="000000"/>
          <w:sz w:val="22"/>
        </w:rPr>
        <w:t>We extend our love and warmest greetings to the believers in Ethiopia who are observing the auspicious occasion of the seventy-fifth anniversary of the establishment of the Bahá’í Faith in that esteemed country.</w:t>
      </w:r>
    </w:p>
    <w:p>
      <w:pPr>
        <w:spacing w:before="0" w:after="160" w:line="276" w:lineRule="auto"/>
        <w:jc w:val="both"/>
      </w:pPr>
      <w:r>
        <w:rPr>
          <w:rFonts w:ascii="Times New Roman" w:hAnsi="Times New Roman"/>
          <w:color w:val="000000"/>
          <w:sz w:val="22"/>
        </w:rPr>
        <w:t>The Diamond Jubilee celebration is a time to recall the noble accomplishments of the past and thoughtfully reflect upon the opportunities that lie ahead. Ethiopia was among the first Bahá’í communities of the African continent, and its history has been distinguished by the exemplary devotion, firmness in the Covenant, and spirit of self-reliance of the believers. Who are those of the present generation that will build upon this legacy and create an illustrious future through their heroic deeds? Arise, dear friends, with sacrifice and determination to achieve unprecedented victories in the teaching field, accelerate the development of human resources, multiply the core activities essential to a vibrant community life, and extend your involvement and influence in the life of the wider society. In this endeavour you can draw upon the rich body of experience accumulated through your learning in recent years to reach out to the spiritually receptive peoples of your nation. Be assured of our ardent prayers in the Holy Shrines that your worthy efforts in the service of the Faith may continue to be reinforced through the unfailing grace and manifold blessings of the Blessed Beauty.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Seventy-Fifth Anniversary of the Bahá’í Faith in Ethiopia</dc:title>
  <dc:subject>Bahá'í Message #124 (7 January 2009)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