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February 2009</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Australia</w:t>
      </w:r>
    </w:p>
    <w:p>
      <w:pPr>
        <w:spacing w:before="0" w:after="160" w:line="276" w:lineRule="auto"/>
        <w:jc w:val="both"/>
      </w:pPr>
      <w:r>
        <w:rPr>
          <w:rFonts w:ascii="Times New Roman" w:hAnsi="Times New Roman"/>
          <w:color w:val="000000"/>
          <w:sz w:val="22"/>
        </w:rPr>
        <w:t>We are distressed to learn of the passing of Madge Featherstone, who served the Faith sacrificially in Australasia for over six decades. In addition to her unfailing support to her late husband in the discharge of his vital responsibilities, Madge Featherstone made a distinguished contribution to the work of the Cause through her membership of the National Spiritual Assembly of Australia for some time and of the highly effective Asian Teaching Committee during the Ten Year Crusade. Her devotion to the advancement of the Faith was evident in the journeys she undertook in the Pacific Islands as a travelling teacher despite frailty of health in the ninth decade of her life. Kindly convey our condolences to her family and friends and assure them of our prayers at the Sacred Threshold for the progress of her illumined soul in the worlds beyond.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Madge Featherstone</dc:title>
  <dc:subject>Bahá'í Message #125 (2 February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